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B47" w:rsidRPr="009E5F5B" w:rsidRDefault="00E10B47" w:rsidP="00E10B47">
      <w:pPr>
        <w:jc w:val="both"/>
        <w:rPr>
          <w:rFonts w:ascii="Arial" w:hAnsi="Arial" w:cs="Arial"/>
          <w:iCs/>
          <w:sz w:val="22"/>
          <w:szCs w:val="22"/>
        </w:rPr>
      </w:pPr>
      <w:r>
        <w:rPr>
          <w:rFonts w:ascii="Arial" w:hAnsi="Arial" w:cs="Arial"/>
          <w:noProof/>
          <w:sz w:val="22"/>
          <w:szCs w:val="22"/>
        </w:rPr>
        <w:t>Dans cet</w:t>
      </w:r>
      <w:bookmarkStart w:id="0" w:name="_GoBack"/>
      <w:bookmarkEnd w:id="0"/>
      <w:r w:rsidRPr="009E5F5B">
        <w:rPr>
          <w:rFonts w:ascii="Arial" w:hAnsi="Arial" w:cs="Arial"/>
          <w:noProof/>
          <w:sz w:val="22"/>
          <w:szCs w:val="22"/>
        </w:rPr>
        <w:t xml:space="preserve"> </w:t>
      </w:r>
      <w:r w:rsidRPr="009E5F5B">
        <w:rPr>
          <w:rFonts w:ascii="Arial" w:hAnsi="Arial" w:cs="Arial"/>
          <w:b/>
          <w:noProof/>
          <w:sz w:val="22"/>
          <w:szCs w:val="22"/>
        </w:rPr>
        <w:t>article de</w:t>
      </w:r>
      <w:r w:rsidRPr="009E5F5B">
        <w:rPr>
          <w:rFonts w:ascii="Arial" w:hAnsi="Arial" w:cs="Arial"/>
          <w:noProof/>
          <w:sz w:val="22"/>
          <w:szCs w:val="22"/>
        </w:rPr>
        <w:t xml:space="preserve"> </w:t>
      </w:r>
      <w:r w:rsidRPr="009E5F5B">
        <w:rPr>
          <w:rFonts w:ascii="Arial" w:hAnsi="Arial" w:cs="Arial"/>
          <w:b/>
          <w:noProof/>
          <w:sz w:val="22"/>
          <w:szCs w:val="22"/>
        </w:rPr>
        <w:t>recherche translationnelle</w:t>
      </w:r>
      <w:r w:rsidRPr="009E5F5B">
        <w:rPr>
          <w:rFonts w:ascii="Arial" w:hAnsi="Arial" w:cs="Arial"/>
          <w:noProof/>
          <w:sz w:val="22"/>
          <w:szCs w:val="22"/>
        </w:rPr>
        <w:t>,</w:t>
      </w:r>
      <w:r w:rsidRPr="009E5F5B">
        <w:rPr>
          <w:rFonts w:ascii="Arial" w:hAnsi="Arial" w:cs="Arial"/>
          <w:iCs/>
          <w:sz w:val="22"/>
          <w:szCs w:val="22"/>
        </w:rPr>
        <w:t xml:space="preserve"> réalisé en collaboration avec des membres du réseau RENOCLIP-LOC </w:t>
      </w:r>
      <w:r w:rsidRPr="009E5F5B">
        <w:rPr>
          <w:rFonts w:ascii="Arial" w:hAnsi="Arial" w:cs="Arial"/>
          <w:sz w:val="22"/>
          <w:szCs w:val="22"/>
        </w:rPr>
        <w:t>(</w:t>
      </w:r>
      <w:r w:rsidRPr="009E5F5B">
        <w:rPr>
          <w:rFonts w:ascii="Arial" w:hAnsi="Arial" w:cs="Arial"/>
          <w:bCs/>
          <w:i/>
          <w:iCs/>
          <w:sz w:val="22"/>
          <w:szCs w:val="22"/>
        </w:rPr>
        <w:t xml:space="preserve">Réseau national de Neuro-Oncologie </w:t>
      </w:r>
      <w:proofErr w:type="spellStart"/>
      <w:r w:rsidRPr="009E5F5B">
        <w:rPr>
          <w:rFonts w:ascii="Arial" w:hAnsi="Arial" w:cs="Arial"/>
          <w:bCs/>
          <w:i/>
          <w:iCs/>
          <w:sz w:val="22"/>
          <w:szCs w:val="22"/>
        </w:rPr>
        <w:t>CLInico</w:t>
      </w:r>
      <w:proofErr w:type="spellEnd"/>
      <w:r w:rsidRPr="009E5F5B">
        <w:rPr>
          <w:rFonts w:ascii="Arial" w:hAnsi="Arial" w:cs="Arial"/>
          <w:bCs/>
          <w:i/>
          <w:iCs/>
          <w:sz w:val="22"/>
          <w:szCs w:val="22"/>
        </w:rPr>
        <w:t>-Pathologique pour les tumeurs rares du système nerveux central</w:t>
      </w:r>
      <w:r w:rsidRPr="009E5F5B">
        <w:rPr>
          <w:rFonts w:ascii="Arial" w:hAnsi="Arial" w:cs="Arial"/>
          <w:bCs/>
          <w:iCs/>
          <w:sz w:val="22"/>
          <w:szCs w:val="22"/>
        </w:rPr>
        <w:t>)</w:t>
      </w:r>
      <w:r w:rsidRPr="009E5F5B">
        <w:rPr>
          <w:rFonts w:ascii="Arial" w:hAnsi="Arial" w:cs="Arial"/>
          <w:sz w:val="22"/>
          <w:szCs w:val="22"/>
        </w:rPr>
        <w:t xml:space="preserve">, </w:t>
      </w:r>
      <w:r w:rsidRPr="009E5F5B">
        <w:rPr>
          <w:rFonts w:ascii="Arial" w:hAnsi="Arial" w:cs="Arial"/>
          <w:b/>
          <w:iCs/>
          <w:sz w:val="22"/>
          <w:szCs w:val="22"/>
          <w:u w:val="single"/>
        </w:rPr>
        <w:t xml:space="preserve">notre équipe de </w:t>
      </w:r>
      <w:proofErr w:type="spellStart"/>
      <w:r w:rsidRPr="009E5F5B">
        <w:rPr>
          <w:rFonts w:ascii="Arial" w:hAnsi="Arial" w:cs="Arial"/>
          <w:b/>
          <w:iCs/>
          <w:sz w:val="22"/>
          <w:szCs w:val="22"/>
          <w:u w:val="single"/>
        </w:rPr>
        <w:t>biopathologie</w:t>
      </w:r>
      <w:proofErr w:type="spellEnd"/>
      <w:r w:rsidRPr="009E5F5B">
        <w:rPr>
          <w:rFonts w:ascii="Arial" w:hAnsi="Arial" w:cs="Arial"/>
          <w:iCs/>
          <w:sz w:val="22"/>
          <w:szCs w:val="22"/>
        </w:rPr>
        <w:t xml:space="preserve"> a analysé, d’un point de vue histologique et moléculaire une série française de 72 tumeurs </w:t>
      </w:r>
      <w:proofErr w:type="spellStart"/>
      <w:r w:rsidRPr="009E5F5B">
        <w:rPr>
          <w:rFonts w:ascii="Arial" w:hAnsi="Arial" w:cs="Arial"/>
          <w:iCs/>
          <w:sz w:val="22"/>
          <w:szCs w:val="22"/>
        </w:rPr>
        <w:t>neuroépithéliales</w:t>
      </w:r>
      <w:proofErr w:type="spellEnd"/>
      <w:r w:rsidRPr="009E5F5B">
        <w:rPr>
          <w:rFonts w:ascii="Arial" w:hAnsi="Arial" w:cs="Arial"/>
          <w:iCs/>
          <w:sz w:val="22"/>
          <w:szCs w:val="22"/>
        </w:rPr>
        <w:t xml:space="preserve"> de bas grade présentant à l’histologie une composante de type </w:t>
      </w:r>
      <w:proofErr w:type="spellStart"/>
      <w:r w:rsidRPr="009E5F5B">
        <w:rPr>
          <w:rFonts w:ascii="Arial" w:hAnsi="Arial" w:cs="Arial"/>
          <w:iCs/>
          <w:sz w:val="22"/>
          <w:szCs w:val="22"/>
        </w:rPr>
        <w:t>oligodendrogliale</w:t>
      </w:r>
      <w:proofErr w:type="spellEnd"/>
      <w:r w:rsidRPr="009E5F5B">
        <w:rPr>
          <w:rFonts w:ascii="Arial" w:hAnsi="Arial" w:cs="Arial"/>
          <w:iCs/>
          <w:sz w:val="22"/>
          <w:szCs w:val="22"/>
        </w:rPr>
        <w:t>, afin de les classer selon la nouvelle classification de l’OMS 2021.</w:t>
      </w:r>
    </w:p>
    <w:p w:rsidR="00E10B47" w:rsidRPr="009E5F5B" w:rsidRDefault="00E10B47" w:rsidP="00E10B47">
      <w:pPr>
        <w:jc w:val="both"/>
        <w:rPr>
          <w:rFonts w:ascii="Arial" w:hAnsi="Arial" w:cs="Arial"/>
          <w:iCs/>
          <w:sz w:val="22"/>
          <w:szCs w:val="22"/>
        </w:rPr>
      </w:pPr>
      <w:r w:rsidRPr="009E5F5B">
        <w:rPr>
          <w:rFonts w:ascii="Arial" w:hAnsi="Arial" w:cs="Arial"/>
          <w:iCs/>
          <w:sz w:val="22"/>
          <w:szCs w:val="22"/>
        </w:rPr>
        <w:t xml:space="preserve">En effet, </w:t>
      </w:r>
      <w:r w:rsidRPr="009E5F5B">
        <w:rPr>
          <w:rFonts w:ascii="Arial" w:hAnsi="Arial" w:cs="Arial"/>
          <w:b/>
          <w:iCs/>
          <w:sz w:val="22"/>
          <w:szCs w:val="22"/>
        </w:rPr>
        <w:t>il est important de clarifier le diagnostic de ces tumeurs</w:t>
      </w:r>
      <w:r w:rsidRPr="009E5F5B">
        <w:rPr>
          <w:rFonts w:ascii="Arial" w:hAnsi="Arial" w:cs="Arial"/>
          <w:iCs/>
          <w:sz w:val="22"/>
          <w:szCs w:val="22"/>
        </w:rPr>
        <w:t xml:space="preserve"> car </w:t>
      </w:r>
      <w:r w:rsidRPr="009E5F5B">
        <w:rPr>
          <w:rStyle w:val="jlqj4b"/>
          <w:rFonts w:ascii="Arial" w:hAnsi="Arial" w:cs="Arial"/>
          <w:sz w:val="22"/>
          <w:szCs w:val="22"/>
        </w:rPr>
        <w:t xml:space="preserve">une composante de type </w:t>
      </w:r>
      <w:proofErr w:type="spellStart"/>
      <w:r w:rsidRPr="009E5F5B">
        <w:rPr>
          <w:rStyle w:val="jlqj4b"/>
          <w:rFonts w:ascii="Arial" w:hAnsi="Arial" w:cs="Arial"/>
          <w:sz w:val="22"/>
          <w:szCs w:val="22"/>
        </w:rPr>
        <w:t>oligodendrogliale</w:t>
      </w:r>
      <w:proofErr w:type="spellEnd"/>
      <w:r w:rsidRPr="009E5F5B">
        <w:rPr>
          <w:rStyle w:val="jlqj4b"/>
          <w:rFonts w:ascii="Arial" w:hAnsi="Arial" w:cs="Arial"/>
          <w:sz w:val="22"/>
          <w:szCs w:val="22"/>
        </w:rPr>
        <w:t xml:space="preserve"> est une caractéristique histologique fréquente de plusieurs types tumoraux : les </w:t>
      </w:r>
      <w:proofErr w:type="spellStart"/>
      <w:r w:rsidRPr="009E5F5B">
        <w:rPr>
          <w:rStyle w:val="jlqj4b"/>
          <w:rFonts w:ascii="Arial" w:hAnsi="Arial" w:cs="Arial"/>
          <w:sz w:val="22"/>
          <w:szCs w:val="22"/>
        </w:rPr>
        <w:t>gangliogliomes</w:t>
      </w:r>
      <w:proofErr w:type="spellEnd"/>
      <w:r w:rsidRPr="009E5F5B">
        <w:rPr>
          <w:rStyle w:val="jlqj4b"/>
          <w:rFonts w:ascii="Arial" w:hAnsi="Arial" w:cs="Arial"/>
          <w:sz w:val="22"/>
          <w:szCs w:val="22"/>
        </w:rPr>
        <w:t xml:space="preserve">, les tumeurs </w:t>
      </w:r>
      <w:proofErr w:type="spellStart"/>
      <w:r w:rsidRPr="009E5F5B">
        <w:rPr>
          <w:rStyle w:val="jlqj4b"/>
          <w:rFonts w:ascii="Arial" w:hAnsi="Arial" w:cs="Arial"/>
          <w:sz w:val="22"/>
          <w:szCs w:val="22"/>
        </w:rPr>
        <w:t>neuroépithéliales</w:t>
      </w:r>
      <w:proofErr w:type="spellEnd"/>
      <w:r w:rsidRPr="009E5F5B">
        <w:rPr>
          <w:rStyle w:val="jlqj4b"/>
          <w:rFonts w:ascii="Arial" w:hAnsi="Arial" w:cs="Arial"/>
          <w:sz w:val="22"/>
          <w:szCs w:val="22"/>
        </w:rPr>
        <w:t xml:space="preserve"> </w:t>
      </w:r>
      <w:proofErr w:type="spellStart"/>
      <w:r w:rsidRPr="009E5F5B">
        <w:rPr>
          <w:rStyle w:val="jlqj4b"/>
          <w:rFonts w:ascii="Arial" w:hAnsi="Arial" w:cs="Arial"/>
          <w:sz w:val="22"/>
          <w:szCs w:val="22"/>
        </w:rPr>
        <w:t>dysembryoplasiques</w:t>
      </w:r>
      <w:proofErr w:type="spellEnd"/>
      <w:r w:rsidRPr="009E5F5B">
        <w:rPr>
          <w:rStyle w:val="jlqj4b"/>
          <w:rFonts w:ascii="Arial" w:hAnsi="Arial" w:cs="Arial"/>
          <w:sz w:val="22"/>
          <w:szCs w:val="22"/>
        </w:rPr>
        <w:t xml:space="preserve"> mais aussi deux entités récemment décrites, la tumeur </w:t>
      </w:r>
      <w:proofErr w:type="spellStart"/>
      <w:r w:rsidRPr="009E5F5B">
        <w:rPr>
          <w:rStyle w:val="jlqj4b"/>
          <w:rFonts w:ascii="Arial" w:hAnsi="Arial" w:cs="Arial"/>
          <w:sz w:val="22"/>
          <w:szCs w:val="22"/>
        </w:rPr>
        <w:t>neuroépithéliale</w:t>
      </w:r>
      <w:proofErr w:type="spellEnd"/>
      <w:r w:rsidRPr="009E5F5B">
        <w:rPr>
          <w:rStyle w:val="jlqj4b"/>
          <w:rFonts w:ascii="Arial" w:hAnsi="Arial" w:cs="Arial"/>
          <w:sz w:val="22"/>
          <w:szCs w:val="22"/>
        </w:rPr>
        <w:t xml:space="preserve"> polymorphe de bas grade du sujet jeune (PLNTY) et le gliome diffus de bas grade MAPK-altéré. De plus, ces tumeurs présentent toutes des altérations génétiques activant la voie des MAPK kinases. </w:t>
      </w:r>
      <w:r w:rsidRPr="009E5F5B">
        <w:rPr>
          <w:rStyle w:val="jlqj4b"/>
          <w:rFonts w:ascii="Arial" w:hAnsi="Arial" w:cs="Arial"/>
          <w:b/>
          <w:sz w:val="22"/>
          <w:szCs w:val="22"/>
        </w:rPr>
        <w:t>Elles peuvent donc être confondues d’un point de vue histologique et moléculaire</w:t>
      </w:r>
      <w:r w:rsidRPr="009E5F5B">
        <w:rPr>
          <w:rStyle w:val="jlqj4b"/>
          <w:rFonts w:ascii="Arial" w:hAnsi="Arial" w:cs="Arial"/>
          <w:sz w:val="22"/>
          <w:szCs w:val="22"/>
        </w:rPr>
        <w:t>.</w:t>
      </w:r>
    </w:p>
    <w:p w:rsidR="00E10B47" w:rsidRPr="009E5F5B" w:rsidRDefault="00E10B47" w:rsidP="00E10B47">
      <w:pPr>
        <w:jc w:val="both"/>
        <w:rPr>
          <w:rFonts w:ascii="Arial" w:hAnsi="Arial" w:cs="Arial"/>
          <w:iCs/>
          <w:sz w:val="22"/>
          <w:szCs w:val="22"/>
        </w:rPr>
      </w:pPr>
    </w:p>
    <w:p w:rsidR="00E10B47" w:rsidRPr="009E5F5B" w:rsidRDefault="00E10B47" w:rsidP="00E10B47">
      <w:pPr>
        <w:jc w:val="both"/>
        <w:rPr>
          <w:rFonts w:ascii="Arial" w:hAnsi="Arial" w:cs="Arial"/>
          <w:iCs/>
          <w:sz w:val="22"/>
          <w:szCs w:val="22"/>
        </w:rPr>
      </w:pPr>
      <w:r w:rsidRPr="009E5F5B">
        <w:rPr>
          <w:rFonts w:ascii="Arial" w:hAnsi="Arial" w:cs="Arial"/>
          <w:iCs/>
          <w:sz w:val="22"/>
          <w:szCs w:val="22"/>
        </w:rPr>
        <w:t>Toutes les tumeurs ont donc été revues histologiquement de manière centralisée par deux pathologistes et nous avons utilisé la PCR digitale et le séquençage de l’ARN pour rechercher des altérations moléculaires caractéristiques récurrentes dans ces tumeurs et également l’analyse de la méthylation de l’ADN (quand cela était possible) qui permet de classer les tumeurs par intelligence artificielle dans une base de données appelée « classifier ».</w:t>
      </w:r>
    </w:p>
    <w:p w:rsidR="00E10B47" w:rsidRPr="009E5F5B" w:rsidRDefault="00E10B47" w:rsidP="00E10B47">
      <w:pPr>
        <w:jc w:val="both"/>
        <w:rPr>
          <w:rFonts w:ascii="Arial" w:hAnsi="Arial" w:cs="Arial"/>
          <w:iCs/>
          <w:sz w:val="22"/>
          <w:szCs w:val="22"/>
        </w:rPr>
      </w:pPr>
    </w:p>
    <w:p w:rsidR="00E10B47" w:rsidRPr="009E5F5B" w:rsidRDefault="00E10B47" w:rsidP="00E10B47">
      <w:pPr>
        <w:pStyle w:val="Sansinterligne"/>
        <w:spacing w:line="276" w:lineRule="auto"/>
        <w:jc w:val="both"/>
        <w:rPr>
          <w:rStyle w:val="jlqj4b"/>
          <w:rFonts w:ascii="Arial" w:hAnsi="Arial" w:cs="Arial"/>
          <w:sz w:val="22"/>
          <w:szCs w:val="22"/>
        </w:rPr>
      </w:pPr>
      <w:r w:rsidRPr="009E5F5B">
        <w:rPr>
          <w:rFonts w:ascii="Arial" w:hAnsi="Arial" w:cs="Arial"/>
          <w:iCs/>
          <w:sz w:val="22"/>
          <w:szCs w:val="22"/>
        </w:rPr>
        <w:t xml:space="preserve">Ainsi, en fonction des caractéristiques histologiques, moléculaires, et épigénétiques que nous avons mises en évidence pour ces 72 tumeurs, elles ont pu être regroupées en </w:t>
      </w:r>
      <w:r w:rsidRPr="009E5F5B">
        <w:rPr>
          <w:rFonts w:ascii="Arial" w:hAnsi="Arial" w:cs="Arial"/>
          <w:b/>
          <w:iCs/>
          <w:sz w:val="22"/>
          <w:szCs w:val="22"/>
        </w:rPr>
        <w:t>2 grands groupes</w:t>
      </w:r>
      <w:r w:rsidRPr="009E5F5B">
        <w:rPr>
          <w:rFonts w:ascii="Arial" w:hAnsi="Arial" w:cs="Arial"/>
          <w:iCs/>
          <w:sz w:val="22"/>
          <w:szCs w:val="22"/>
        </w:rPr>
        <w:t xml:space="preserve"> : </w:t>
      </w:r>
      <w:r w:rsidRPr="009E5F5B">
        <w:rPr>
          <w:rFonts w:ascii="Arial" w:hAnsi="Arial" w:cs="Arial"/>
          <w:b/>
          <w:iCs/>
          <w:sz w:val="22"/>
          <w:szCs w:val="22"/>
        </w:rPr>
        <w:t xml:space="preserve">1 groupe enrichi en </w:t>
      </w:r>
      <w:r w:rsidRPr="009E5F5B">
        <w:rPr>
          <w:rStyle w:val="jlqj4b"/>
          <w:rFonts w:ascii="Arial" w:hAnsi="Arial" w:cs="Arial"/>
          <w:b/>
          <w:sz w:val="22"/>
          <w:szCs w:val="22"/>
        </w:rPr>
        <w:t xml:space="preserve">tumeurs </w:t>
      </w:r>
      <w:proofErr w:type="spellStart"/>
      <w:r w:rsidRPr="009E5F5B">
        <w:rPr>
          <w:rStyle w:val="jlqj4b"/>
          <w:rFonts w:ascii="Arial" w:hAnsi="Arial" w:cs="Arial"/>
          <w:b/>
          <w:sz w:val="22"/>
          <w:szCs w:val="22"/>
        </w:rPr>
        <w:t>neuroépithéliales</w:t>
      </w:r>
      <w:proofErr w:type="spellEnd"/>
      <w:r w:rsidRPr="009E5F5B">
        <w:rPr>
          <w:rStyle w:val="jlqj4b"/>
          <w:rFonts w:ascii="Arial" w:hAnsi="Arial" w:cs="Arial"/>
          <w:b/>
          <w:sz w:val="22"/>
          <w:szCs w:val="22"/>
        </w:rPr>
        <w:t xml:space="preserve"> </w:t>
      </w:r>
      <w:proofErr w:type="spellStart"/>
      <w:r w:rsidRPr="009E5F5B">
        <w:rPr>
          <w:rStyle w:val="jlqj4b"/>
          <w:rFonts w:ascii="Arial" w:hAnsi="Arial" w:cs="Arial"/>
          <w:b/>
          <w:sz w:val="22"/>
          <w:szCs w:val="22"/>
        </w:rPr>
        <w:t>dysembryoplasiques</w:t>
      </w:r>
      <w:proofErr w:type="spellEnd"/>
      <w:r w:rsidRPr="009E5F5B">
        <w:rPr>
          <w:rStyle w:val="jlqj4b"/>
          <w:rFonts w:ascii="Arial" w:hAnsi="Arial" w:cs="Arial"/>
          <w:b/>
          <w:sz w:val="22"/>
          <w:szCs w:val="22"/>
        </w:rPr>
        <w:t xml:space="preserve"> et 1 autre enrichi en </w:t>
      </w:r>
      <w:proofErr w:type="spellStart"/>
      <w:r w:rsidRPr="009E5F5B">
        <w:rPr>
          <w:rStyle w:val="jlqj4b"/>
          <w:rFonts w:ascii="Arial" w:hAnsi="Arial" w:cs="Arial"/>
          <w:b/>
          <w:sz w:val="22"/>
          <w:szCs w:val="22"/>
        </w:rPr>
        <w:t>gangliogliomes</w:t>
      </w:r>
      <w:proofErr w:type="spellEnd"/>
      <w:r w:rsidRPr="009E5F5B">
        <w:rPr>
          <w:rStyle w:val="jlqj4b"/>
          <w:rFonts w:ascii="Arial" w:hAnsi="Arial" w:cs="Arial"/>
          <w:sz w:val="22"/>
          <w:szCs w:val="22"/>
        </w:rPr>
        <w:t xml:space="preserve">. D’un point de vue </w:t>
      </w:r>
      <w:proofErr w:type="spellStart"/>
      <w:r w:rsidRPr="009E5F5B">
        <w:rPr>
          <w:rStyle w:val="jlqj4b"/>
          <w:rFonts w:ascii="Arial" w:hAnsi="Arial" w:cs="Arial"/>
          <w:sz w:val="22"/>
          <w:szCs w:val="22"/>
        </w:rPr>
        <w:t>histomoléculaire</w:t>
      </w:r>
      <w:proofErr w:type="spellEnd"/>
      <w:r w:rsidRPr="009E5F5B">
        <w:rPr>
          <w:rStyle w:val="jlqj4b"/>
          <w:rFonts w:ascii="Arial" w:hAnsi="Arial" w:cs="Arial"/>
          <w:sz w:val="22"/>
          <w:szCs w:val="22"/>
        </w:rPr>
        <w:t xml:space="preserve"> et biologique, il paraît plus pertinent de regrouper ces tumeurs selon ces 2 grands groupes plutôt que de les subdiviser selon les 4 sous-types proposés par la 5</w:t>
      </w:r>
      <w:r w:rsidRPr="009E5F5B">
        <w:rPr>
          <w:rStyle w:val="jlqj4b"/>
          <w:rFonts w:ascii="Arial" w:hAnsi="Arial" w:cs="Arial"/>
          <w:sz w:val="22"/>
          <w:szCs w:val="22"/>
          <w:vertAlign w:val="superscript"/>
        </w:rPr>
        <w:t>ème</w:t>
      </w:r>
      <w:r w:rsidRPr="009E5F5B">
        <w:rPr>
          <w:rStyle w:val="jlqj4b"/>
          <w:rFonts w:ascii="Arial" w:hAnsi="Arial" w:cs="Arial"/>
          <w:sz w:val="22"/>
          <w:szCs w:val="22"/>
        </w:rPr>
        <w:t xml:space="preserve"> édition de la classification de l’OMS 2021. En effet les nouveaux sous-types, PLNTY et gliome diffus de bas grade MAPK-altéré, proposés dans la nouvelle classification ne présentent pas un profil </w:t>
      </w:r>
      <w:proofErr w:type="spellStart"/>
      <w:r w:rsidRPr="009E5F5B">
        <w:rPr>
          <w:rStyle w:val="jlqj4b"/>
          <w:rFonts w:ascii="Arial" w:hAnsi="Arial" w:cs="Arial"/>
          <w:sz w:val="22"/>
          <w:szCs w:val="22"/>
        </w:rPr>
        <w:t>histomoléculaire</w:t>
      </w:r>
      <w:proofErr w:type="spellEnd"/>
      <w:r w:rsidRPr="009E5F5B">
        <w:rPr>
          <w:rStyle w:val="jlqj4b"/>
          <w:rFonts w:ascii="Arial" w:hAnsi="Arial" w:cs="Arial"/>
          <w:sz w:val="22"/>
          <w:szCs w:val="22"/>
        </w:rPr>
        <w:t xml:space="preserve"> particulier mais viennent s’intégrer aux 2 grands groupes précédemment décrits : leur pertinence </w:t>
      </w:r>
      <w:proofErr w:type="spellStart"/>
      <w:r w:rsidRPr="009E5F5B">
        <w:rPr>
          <w:rStyle w:val="jlqj4b"/>
          <w:rFonts w:ascii="Arial" w:hAnsi="Arial" w:cs="Arial"/>
          <w:sz w:val="22"/>
          <w:szCs w:val="22"/>
        </w:rPr>
        <w:t>clinicopathologique</w:t>
      </w:r>
      <w:proofErr w:type="spellEnd"/>
      <w:r w:rsidRPr="009E5F5B">
        <w:rPr>
          <w:rStyle w:val="jlqj4b"/>
          <w:rFonts w:ascii="Arial" w:hAnsi="Arial" w:cs="Arial"/>
          <w:sz w:val="22"/>
          <w:szCs w:val="22"/>
        </w:rPr>
        <w:t xml:space="preserve"> est donc discutable.</w:t>
      </w:r>
    </w:p>
    <w:p w:rsidR="00687A0D" w:rsidRDefault="00687A0D"/>
    <w:sectPr w:rsidR="00687A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B47"/>
    <w:rsid w:val="00687A0D"/>
    <w:rsid w:val="00E10B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B47"/>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E10B47"/>
    <w:pPr>
      <w:spacing w:after="0" w:line="240" w:lineRule="auto"/>
    </w:pPr>
    <w:rPr>
      <w:rFonts w:ascii="Times New Roman" w:eastAsia="Times New Roman" w:hAnsi="Times New Roman" w:cs="Times New Roman"/>
      <w:sz w:val="24"/>
      <w:szCs w:val="24"/>
      <w:lang w:eastAsia="fr-FR"/>
    </w:rPr>
  </w:style>
  <w:style w:type="character" w:customStyle="1" w:styleId="SansinterligneCar">
    <w:name w:val="Sans interligne Car"/>
    <w:link w:val="Sansinterligne"/>
    <w:uiPriority w:val="1"/>
    <w:rsid w:val="00E10B47"/>
    <w:rPr>
      <w:rFonts w:ascii="Times New Roman" w:eastAsia="Times New Roman" w:hAnsi="Times New Roman" w:cs="Times New Roman"/>
      <w:sz w:val="24"/>
      <w:szCs w:val="24"/>
      <w:lang w:eastAsia="fr-FR"/>
    </w:rPr>
  </w:style>
  <w:style w:type="character" w:customStyle="1" w:styleId="jlqj4b">
    <w:name w:val="jlqj4b"/>
    <w:rsid w:val="00E10B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B47"/>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E10B47"/>
    <w:pPr>
      <w:spacing w:after="0" w:line="240" w:lineRule="auto"/>
    </w:pPr>
    <w:rPr>
      <w:rFonts w:ascii="Times New Roman" w:eastAsia="Times New Roman" w:hAnsi="Times New Roman" w:cs="Times New Roman"/>
      <w:sz w:val="24"/>
      <w:szCs w:val="24"/>
      <w:lang w:eastAsia="fr-FR"/>
    </w:rPr>
  </w:style>
  <w:style w:type="character" w:customStyle="1" w:styleId="SansinterligneCar">
    <w:name w:val="Sans interligne Car"/>
    <w:link w:val="Sansinterligne"/>
    <w:uiPriority w:val="1"/>
    <w:rsid w:val="00E10B47"/>
    <w:rPr>
      <w:rFonts w:ascii="Times New Roman" w:eastAsia="Times New Roman" w:hAnsi="Times New Roman" w:cs="Times New Roman"/>
      <w:sz w:val="24"/>
      <w:szCs w:val="24"/>
      <w:lang w:eastAsia="fr-FR"/>
    </w:rPr>
  </w:style>
  <w:style w:type="character" w:customStyle="1" w:styleId="jlqj4b">
    <w:name w:val="jlqj4b"/>
    <w:rsid w:val="00E10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2042</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couesnon</dc:creator>
  <cp:lastModifiedBy>couesnon</cp:lastModifiedBy>
  <cp:revision>1</cp:revision>
  <dcterms:created xsi:type="dcterms:W3CDTF">2022-10-12T15:34:00Z</dcterms:created>
  <dcterms:modified xsi:type="dcterms:W3CDTF">2022-10-12T15:34:00Z</dcterms:modified>
</cp:coreProperties>
</file>