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39" w:rsidRDefault="00117C39" w:rsidP="00117C39">
      <w:pPr>
        <w:pStyle w:val="NormalWeb"/>
      </w:pPr>
      <w:r>
        <w:t xml:space="preserve">Cette étude a été réalisée dans le cadre du </w:t>
      </w:r>
      <w:r>
        <w:rPr>
          <w:rStyle w:val="lev"/>
        </w:rPr>
        <w:t xml:space="preserve">réseau POLA </w:t>
      </w:r>
      <w:r>
        <w:t xml:space="preserve">(dédié à la </w:t>
      </w:r>
      <w:r>
        <w:rPr>
          <w:rStyle w:val="Accentuation"/>
        </w:rPr>
        <w:t xml:space="preserve">Prise en charge des tumeurs </w:t>
      </w:r>
      <w:proofErr w:type="spellStart"/>
      <w:r>
        <w:rPr>
          <w:rStyle w:val="Accentuation"/>
        </w:rPr>
        <w:t>Oligodendrogliales</w:t>
      </w:r>
      <w:proofErr w:type="spellEnd"/>
      <w:r>
        <w:rPr>
          <w:rStyle w:val="Accentuation"/>
        </w:rPr>
        <w:t xml:space="preserve"> de haut grade</w:t>
      </w:r>
      <w:r>
        <w:t xml:space="preserve">), auquel appartient </w:t>
      </w:r>
      <w:r>
        <w:rPr>
          <w:rStyle w:val="lev"/>
        </w:rPr>
        <w:t xml:space="preserve">notre consortium en Neuro-Oncologie du CHU </w:t>
      </w:r>
      <w:proofErr w:type="spellStart"/>
      <w:r>
        <w:rPr>
          <w:rStyle w:val="lev"/>
        </w:rPr>
        <w:t>Timone</w:t>
      </w:r>
      <w:proofErr w:type="spellEnd"/>
      <w:r>
        <w:t xml:space="preserve">. La cohorte POLA constituée de plus de 1400 patients atteints de gliomes de </w:t>
      </w:r>
      <w:proofErr w:type="gramStart"/>
      <w:r>
        <w:t>haut grades</w:t>
      </w:r>
      <w:proofErr w:type="gramEnd"/>
      <w:r>
        <w:t xml:space="preserve"> est une ressource précieuse pour mener à bien des études </w:t>
      </w:r>
      <w:proofErr w:type="spellStart"/>
      <w:r>
        <w:t>réstrospectives</w:t>
      </w:r>
      <w:proofErr w:type="spellEnd"/>
      <w:r>
        <w:t xml:space="preserve"> sur ces tumeurs.</w:t>
      </w:r>
    </w:p>
    <w:p w:rsidR="00117C39" w:rsidRDefault="00117C39" w:rsidP="00117C39">
      <w:pPr>
        <w:pStyle w:val="NormalWeb"/>
      </w:pPr>
      <w:r>
        <w:t xml:space="preserve">Dans cet </w:t>
      </w:r>
      <w:r>
        <w:rPr>
          <w:rStyle w:val="lev"/>
        </w:rPr>
        <w:t>article de recherche clinique</w:t>
      </w:r>
      <w:r>
        <w:t xml:space="preserve">, 39 patients adultes de plus de 70 ans, et présentant un gliome de haut grade avec une mutation du gène </w:t>
      </w:r>
      <w:r>
        <w:rPr>
          <w:rStyle w:val="Accentuation"/>
        </w:rPr>
        <w:t>IDH</w:t>
      </w:r>
      <w:r>
        <w:t>, issus de la cohorte POLA ont été étudiés. Il s’agit de la première étude caractérisant ce groupe tumoral peu représenté chez les patients âgés, et elle a pu être réalisée grâce à la cohorte POLA bien documentée.  </w:t>
      </w:r>
    </w:p>
    <w:p w:rsidR="00117C39" w:rsidRDefault="00117C39" w:rsidP="00117C39">
      <w:pPr>
        <w:pStyle w:val="NormalWeb"/>
      </w:pPr>
      <w:r>
        <w:t xml:space="preserve">Dans la population jeune, les gliomes </w:t>
      </w:r>
      <w:r>
        <w:rPr>
          <w:rStyle w:val="Accentuation"/>
        </w:rPr>
        <w:t>IDH</w:t>
      </w:r>
      <w:r>
        <w:t xml:space="preserve">-muté ont généralement un meilleur pronostic que les gliomes </w:t>
      </w:r>
      <w:r>
        <w:rPr>
          <w:rStyle w:val="Accentuation"/>
        </w:rPr>
        <w:t>IDH</w:t>
      </w:r>
      <w:r>
        <w:t>-</w:t>
      </w:r>
      <w:proofErr w:type="spellStart"/>
      <w:r>
        <w:t>wt</w:t>
      </w:r>
      <w:proofErr w:type="spellEnd"/>
      <w:r>
        <w:t xml:space="preserve">, mais peu d’études ont été réalisées sur ce type tumoral chez les patients de plus de 70 ans. Cette étude a permis de montrer qu’il en était de même chez les personnes âgées : les patients avec un gliome </w:t>
      </w:r>
      <w:r>
        <w:rPr>
          <w:rStyle w:val="Accentuation"/>
        </w:rPr>
        <w:t>IDH</w:t>
      </w:r>
      <w:r>
        <w:t xml:space="preserve">-muté ont un meilleur pronostic que ceux avec un gliome </w:t>
      </w:r>
      <w:r>
        <w:rPr>
          <w:rStyle w:val="Accentuation"/>
        </w:rPr>
        <w:t>IDH</w:t>
      </w:r>
      <w:r>
        <w:t>-</w:t>
      </w:r>
      <w:proofErr w:type="spellStart"/>
      <w:r>
        <w:t>wt</w:t>
      </w:r>
      <w:proofErr w:type="spellEnd"/>
      <w:r>
        <w:t xml:space="preserve">. De plus, cette étude a permis de dresser un bilan sur le </w:t>
      </w:r>
      <w:r>
        <w:rPr>
          <w:rStyle w:val="lev"/>
        </w:rPr>
        <w:t>mode de prise en charge de ces patients</w:t>
      </w:r>
      <w:r>
        <w:t xml:space="preserve"> pour à terme peut être le modifier et l’adapter, en proposant </w:t>
      </w:r>
      <w:proofErr w:type="spellStart"/>
      <w:r>
        <w:t>nottament</w:t>
      </w:r>
      <w:proofErr w:type="spellEnd"/>
      <w:r>
        <w:t xml:space="preserve"> une radio-chimiothérapie peu envisagée à l’heure actuelle. Enfin, elle a mis en évidence des </w:t>
      </w:r>
      <w:r>
        <w:rPr>
          <w:rStyle w:val="lev"/>
        </w:rPr>
        <w:t>facteurs pronostiques spécifiques</w:t>
      </w:r>
      <w:r>
        <w:t xml:space="preserve"> à ce groupe tumoral de patients âgés, tels que la mobilité, les troubles neuropsychologiques, l'indice de masse corporelle et l'autonomie. Il serait intéressant d’évaluer ces facteurs en clinique afin de </w:t>
      </w:r>
      <w:r>
        <w:rPr>
          <w:rStyle w:val="lev"/>
        </w:rPr>
        <w:t>stratifier ces patients en fonction de leur risque</w:t>
      </w:r>
      <w:r>
        <w:t xml:space="preserve">, et </w:t>
      </w:r>
      <w:r>
        <w:rPr>
          <w:rStyle w:val="lev"/>
        </w:rPr>
        <w:t>aider l’orientation des choix thérapeutiques pour optimiser leur prise en charge.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39"/>
    <w:rsid w:val="00117C39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17C39"/>
    <w:rPr>
      <w:b/>
      <w:bCs/>
    </w:rPr>
  </w:style>
  <w:style w:type="character" w:styleId="Accentuation">
    <w:name w:val="Emphasis"/>
    <w:basedOn w:val="Policepardfaut"/>
    <w:uiPriority w:val="20"/>
    <w:qFormat/>
    <w:rsid w:val="00117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17C39"/>
    <w:rPr>
      <w:b/>
      <w:bCs/>
    </w:rPr>
  </w:style>
  <w:style w:type="character" w:styleId="Accentuation">
    <w:name w:val="Emphasis"/>
    <w:basedOn w:val="Policepardfaut"/>
    <w:uiPriority w:val="20"/>
    <w:qFormat/>
    <w:rsid w:val="00117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2023-12-22T07:39:00Z</dcterms:created>
  <dcterms:modified xsi:type="dcterms:W3CDTF">2023-12-22T07:39:00Z</dcterms:modified>
</cp:coreProperties>
</file>