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9F" w:rsidRPr="009D7343" w:rsidRDefault="001F469F" w:rsidP="001F469F">
      <w:pPr>
        <w:jc w:val="both"/>
        <w:rPr>
          <w:rFonts w:ascii="Arial" w:hAnsi="Arial" w:cs="Arial"/>
          <w:sz w:val="22"/>
        </w:rPr>
      </w:pPr>
      <w:r w:rsidRPr="00CE4CC5">
        <w:rPr>
          <w:rFonts w:ascii="Arial" w:hAnsi="Arial" w:cs="Arial"/>
          <w:noProof/>
          <w:sz w:val="22"/>
          <w:szCs w:val="22"/>
        </w:rPr>
        <w:t xml:space="preserve">Dans cet </w:t>
      </w:r>
      <w:r w:rsidRPr="00CE4CC5">
        <w:rPr>
          <w:rFonts w:ascii="Arial" w:hAnsi="Arial" w:cs="Arial"/>
          <w:b/>
          <w:noProof/>
          <w:sz w:val="22"/>
          <w:szCs w:val="22"/>
        </w:rPr>
        <w:t>article de</w:t>
      </w:r>
      <w:r w:rsidRPr="00CE4CC5">
        <w:rPr>
          <w:rFonts w:ascii="Arial" w:hAnsi="Arial" w:cs="Arial"/>
          <w:noProof/>
          <w:sz w:val="22"/>
          <w:szCs w:val="22"/>
        </w:rPr>
        <w:t xml:space="preserve"> </w:t>
      </w:r>
      <w:r w:rsidRPr="00CE4CC5">
        <w:rPr>
          <w:rFonts w:ascii="Arial" w:hAnsi="Arial" w:cs="Arial"/>
          <w:b/>
          <w:noProof/>
          <w:sz w:val="22"/>
          <w:szCs w:val="22"/>
        </w:rPr>
        <w:t>recherche translationnelle</w:t>
      </w:r>
      <w:r w:rsidRPr="00207677">
        <w:rPr>
          <w:rFonts w:ascii="Arial" w:hAnsi="Arial" w:cs="Arial"/>
          <w:noProof/>
          <w:sz w:val="22"/>
          <w:szCs w:val="22"/>
        </w:rPr>
        <w:t>,</w:t>
      </w:r>
      <w:r w:rsidRPr="00207677">
        <w:rPr>
          <w:rFonts w:ascii="Arial" w:hAnsi="Arial" w:cs="Arial"/>
          <w:iCs/>
          <w:sz w:val="22"/>
          <w:szCs w:val="22"/>
        </w:rPr>
        <w:t xml:space="preserve"> réalisé en collaboration avec des membres du </w:t>
      </w:r>
      <w:r w:rsidRPr="00CE4CC5">
        <w:rPr>
          <w:rFonts w:ascii="Arial" w:hAnsi="Arial" w:cs="Arial"/>
          <w:b/>
          <w:bCs/>
          <w:iCs/>
          <w:sz w:val="22"/>
          <w:szCs w:val="22"/>
          <w:u w:val="single"/>
        </w:rPr>
        <w:t>réseau RENOCLIP-LOC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207677">
        <w:rPr>
          <w:rFonts w:ascii="Arial" w:hAnsi="Arial" w:cs="Arial"/>
          <w:sz w:val="22"/>
          <w:szCs w:val="22"/>
        </w:rPr>
        <w:t>(</w:t>
      </w:r>
      <w:r w:rsidRPr="00207677">
        <w:rPr>
          <w:rFonts w:ascii="Arial" w:hAnsi="Arial" w:cs="Arial"/>
          <w:bCs/>
          <w:i/>
          <w:iCs/>
          <w:sz w:val="22"/>
          <w:szCs w:val="22"/>
        </w:rPr>
        <w:t xml:space="preserve">Réseau national de Neuro-Oncologie </w:t>
      </w:r>
      <w:proofErr w:type="spellStart"/>
      <w:r w:rsidRPr="00207677">
        <w:rPr>
          <w:rFonts w:ascii="Arial" w:hAnsi="Arial" w:cs="Arial"/>
          <w:bCs/>
          <w:i/>
          <w:iCs/>
          <w:sz w:val="22"/>
          <w:szCs w:val="22"/>
        </w:rPr>
        <w:t>CLInico</w:t>
      </w:r>
      <w:proofErr w:type="spellEnd"/>
      <w:r w:rsidRPr="00207677">
        <w:rPr>
          <w:rFonts w:ascii="Arial" w:hAnsi="Arial" w:cs="Arial"/>
          <w:bCs/>
          <w:i/>
          <w:iCs/>
          <w:sz w:val="22"/>
          <w:szCs w:val="22"/>
        </w:rPr>
        <w:t>-Pathologique pour les tumeurs rares du système nerveux central</w:t>
      </w:r>
      <w:r w:rsidRPr="00207677">
        <w:rPr>
          <w:rFonts w:ascii="Arial" w:hAnsi="Arial" w:cs="Arial"/>
          <w:bCs/>
          <w:iCs/>
          <w:sz w:val="22"/>
          <w:szCs w:val="22"/>
        </w:rPr>
        <w:t>)</w:t>
      </w:r>
      <w:r w:rsidRPr="00207677">
        <w:rPr>
          <w:rFonts w:ascii="Arial" w:hAnsi="Arial" w:cs="Arial"/>
          <w:sz w:val="22"/>
          <w:szCs w:val="22"/>
        </w:rPr>
        <w:t xml:space="preserve">, </w:t>
      </w:r>
      <w:r w:rsidRPr="00207677">
        <w:rPr>
          <w:rFonts w:ascii="Arial" w:hAnsi="Arial" w:cs="Arial"/>
          <w:b/>
          <w:iCs/>
          <w:sz w:val="22"/>
          <w:szCs w:val="22"/>
          <w:u w:val="single"/>
        </w:rPr>
        <w:t xml:space="preserve">notre équipe de </w:t>
      </w:r>
      <w:proofErr w:type="spellStart"/>
      <w:r w:rsidRPr="00207677">
        <w:rPr>
          <w:rFonts w:ascii="Arial" w:hAnsi="Arial" w:cs="Arial"/>
          <w:b/>
          <w:iCs/>
          <w:sz w:val="22"/>
          <w:szCs w:val="22"/>
          <w:u w:val="single"/>
        </w:rPr>
        <w:t>biopathologie</w:t>
      </w:r>
      <w:proofErr w:type="spellEnd"/>
      <w:r w:rsidRPr="00207677">
        <w:rPr>
          <w:rFonts w:ascii="Arial" w:hAnsi="Arial" w:cs="Arial"/>
          <w:iCs/>
          <w:sz w:val="22"/>
          <w:szCs w:val="22"/>
        </w:rPr>
        <w:t xml:space="preserve"> a analysé </w:t>
      </w:r>
      <w:r w:rsidRPr="00207677">
        <w:rPr>
          <w:rFonts w:ascii="Arial" w:hAnsi="Arial" w:cs="Arial"/>
          <w:sz w:val="22"/>
          <w:szCs w:val="22"/>
        </w:rPr>
        <w:t>une petite série française de</w:t>
      </w:r>
      <w:r w:rsidRPr="009D7343">
        <w:rPr>
          <w:rFonts w:ascii="Arial" w:hAnsi="Arial" w:cs="Arial"/>
          <w:sz w:val="22"/>
        </w:rPr>
        <w:t xml:space="preserve"> </w:t>
      </w:r>
      <w:r w:rsidRPr="00CE4CC5">
        <w:rPr>
          <w:rFonts w:ascii="Arial" w:hAnsi="Arial" w:cs="Arial"/>
          <w:b/>
          <w:bCs/>
          <w:sz w:val="22"/>
        </w:rPr>
        <w:t xml:space="preserve">16 tumeurs du système nerveux central présentant une fusion du gène </w:t>
      </w:r>
      <w:r w:rsidRPr="00CE4CC5">
        <w:rPr>
          <w:rFonts w:ascii="Arial" w:hAnsi="Arial" w:cs="Arial"/>
          <w:b/>
          <w:bCs/>
          <w:i/>
          <w:iCs/>
          <w:sz w:val="22"/>
        </w:rPr>
        <w:t>FGFR2</w:t>
      </w:r>
      <w:r>
        <w:rPr>
          <w:rFonts w:ascii="Arial" w:hAnsi="Arial" w:cs="Arial"/>
          <w:sz w:val="22"/>
        </w:rPr>
        <w:t xml:space="preserve">. </w:t>
      </w:r>
      <w:r w:rsidRPr="00924557">
        <w:rPr>
          <w:rFonts w:ascii="Arial" w:hAnsi="Arial" w:cs="Arial"/>
          <w:b/>
          <w:bCs/>
          <w:sz w:val="22"/>
        </w:rPr>
        <w:t>Le diagnostic précis de ces tumeurs est complexe</w:t>
      </w:r>
      <w:r>
        <w:rPr>
          <w:rFonts w:ascii="Arial" w:hAnsi="Arial" w:cs="Arial"/>
          <w:sz w:val="22"/>
        </w:rPr>
        <w:t xml:space="preserve"> car cette fusion du gène </w:t>
      </w:r>
      <w:r w:rsidRPr="00CE4CC5">
        <w:rPr>
          <w:rFonts w:ascii="Arial" w:hAnsi="Arial" w:cs="Arial"/>
          <w:i/>
          <w:iCs/>
          <w:sz w:val="22"/>
        </w:rPr>
        <w:t>FGFR2</w:t>
      </w:r>
      <w:r>
        <w:rPr>
          <w:rFonts w:ascii="Arial" w:hAnsi="Arial" w:cs="Arial"/>
          <w:sz w:val="22"/>
        </w:rPr>
        <w:t xml:space="preserve"> peut être retrouvée dans des </w:t>
      </w:r>
      <w:r w:rsidRPr="009D7343">
        <w:rPr>
          <w:rFonts w:ascii="Arial" w:hAnsi="Arial" w:cs="Arial"/>
          <w:sz w:val="22"/>
        </w:rPr>
        <w:t xml:space="preserve">tumeurs </w:t>
      </w:r>
      <w:proofErr w:type="spellStart"/>
      <w:r w:rsidRPr="009D7343">
        <w:rPr>
          <w:rFonts w:ascii="Arial" w:hAnsi="Arial" w:cs="Arial"/>
          <w:sz w:val="22"/>
        </w:rPr>
        <w:t>glioneuronales</w:t>
      </w:r>
      <w:proofErr w:type="spellEnd"/>
      <w:r w:rsidRPr="009D7343">
        <w:rPr>
          <w:rFonts w:ascii="Arial" w:hAnsi="Arial" w:cs="Arial"/>
          <w:sz w:val="22"/>
        </w:rPr>
        <w:t xml:space="preserve"> et neuronales, </w:t>
      </w:r>
      <w:r>
        <w:rPr>
          <w:rFonts w:ascii="Arial" w:hAnsi="Arial" w:cs="Arial"/>
          <w:sz w:val="22"/>
        </w:rPr>
        <w:t>et</w:t>
      </w:r>
      <w:r w:rsidRPr="009D734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dans</w:t>
      </w:r>
      <w:r w:rsidRPr="009D734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des </w:t>
      </w:r>
      <w:r w:rsidRPr="009D7343">
        <w:rPr>
          <w:rFonts w:ascii="Arial" w:hAnsi="Arial" w:cs="Arial"/>
          <w:sz w:val="22"/>
        </w:rPr>
        <w:t>gliomes pédiatriques de bas grade</w:t>
      </w:r>
      <w:r>
        <w:rPr>
          <w:rFonts w:ascii="Arial" w:hAnsi="Arial" w:cs="Arial"/>
          <w:sz w:val="22"/>
        </w:rPr>
        <w:t xml:space="preserve"> comme la </w:t>
      </w:r>
      <w:r w:rsidRPr="009D7343">
        <w:rPr>
          <w:rFonts w:ascii="Arial" w:hAnsi="Arial" w:cs="Arial"/>
          <w:i/>
          <w:iCs/>
          <w:sz w:val="22"/>
        </w:rPr>
        <w:t xml:space="preserve">tumeur </w:t>
      </w:r>
      <w:proofErr w:type="spellStart"/>
      <w:r w:rsidRPr="009D7343">
        <w:rPr>
          <w:rFonts w:ascii="Arial" w:hAnsi="Arial" w:cs="Arial"/>
          <w:i/>
          <w:iCs/>
          <w:sz w:val="22"/>
        </w:rPr>
        <w:t>neuroépithéliale</w:t>
      </w:r>
      <w:proofErr w:type="spellEnd"/>
      <w:r w:rsidRPr="009D7343">
        <w:rPr>
          <w:rFonts w:ascii="Arial" w:hAnsi="Arial" w:cs="Arial"/>
          <w:i/>
          <w:iCs/>
          <w:sz w:val="22"/>
        </w:rPr>
        <w:t xml:space="preserve"> polymorphe de bas grade de l’enfant et du jeune</w:t>
      </w:r>
      <w:r w:rsidRPr="009D7343">
        <w:rPr>
          <w:rFonts w:ascii="Arial" w:hAnsi="Arial" w:cs="Arial"/>
          <w:sz w:val="22"/>
        </w:rPr>
        <w:t xml:space="preserve"> (PLNTY)</w:t>
      </w:r>
      <w:r>
        <w:rPr>
          <w:rFonts w:ascii="Arial" w:hAnsi="Arial" w:cs="Arial"/>
          <w:sz w:val="22"/>
        </w:rPr>
        <w:t>.</w:t>
      </w:r>
    </w:p>
    <w:p w:rsidR="001F469F" w:rsidRDefault="001F469F" w:rsidP="001F469F">
      <w:pPr>
        <w:jc w:val="both"/>
        <w:rPr>
          <w:rFonts w:ascii="Arial" w:hAnsi="Arial" w:cs="Arial"/>
          <w:sz w:val="22"/>
        </w:rPr>
      </w:pPr>
      <w:r>
        <w:rPr>
          <w:rStyle w:val="jlqj4b"/>
          <w:rFonts w:ascii="Arial" w:hAnsi="Arial" w:cs="Arial"/>
          <w:noProof/>
          <w:sz w:val="22"/>
        </w:rPr>
        <w:t>Dans cette étude, n</w:t>
      </w:r>
      <w:proofErr w:type="spellStart"/>
      <w:r w:rsidRPr="009D7343">
        <w:rPr>
          <w:rFonts w:ascii="Arial" w:hAnsi="Arial" w:cs="Arial"/>
          <w:sz w:val="22"/>
        </w:rPr>
        <w:t>ous</w:t>
      </w:r>
      <w:proofErr w:type="spellEnd"/>
      <w:r w:rsidRPr="009D7343">
        <w:rPr>
          <w:rFonts w:ascii="Arial" w:hAnsi="Arial" w:cs="Arial"/>
          <w:sz w:val="22"/>
        </w:rPr>
        <w:t xml:space="preserve"> avons examiné l</w:t>
      </w:r>
      <w:r>
        <w:rPr>
          <w:rFonts w:ascii="Arial" w:hAnsi="Arial" w:cs="Arial"/>
          <w:sz w:val="22"/>
        </w:rPr>
        <w:t>’</w:t>
      </w:r>
      <w:r w:rsidRPr="009D7343">
        <w:rPr>
          <w:rFonts w:ascii="Arial" w:hAnsi="Arial" w:cs="Arial"/>
          <w:sz w:val="22"/>
        </w:rPr>
        <w:t>aspect histologique</w:t>
      </w:r>
      <w:r>
        <w:rPr>
          <w:rFonts w:ascii="Arial" w:hAnsi="Arial" w:cs="Arial"/>
          <w:sz w:val="22"/>
        </w:rPr>
        <w:t xml:space="preserve"> de ces 16 tumeurs,</w:t>
      </w:r>
      <w:r w:rsidRPr="009D7343">
        <w:rPr>
          <w:rFonts w:ascii="Arial" w:hAnsi="Arial" w:cs="Arial"/>
          <w:sz w:val="22"/>
        </w:rPr>
        <w:t xml:space="preserve"> leur apparence à l’imagerie et leurs caractéristiques moléculaires</w:t>
      </w:r>
      <w:r>
        <w:rPr>
          <w:rFonts w:ascii="Arial" w:hAnsi="Arial" w:cs="Arial"/>
          <w:sz w:val="22"/>
        </w:rPr>
        <w:t>, en particulier le profil de</w:t>
      </w:r>
      <w:r w:rsidRPr="009D7343">
        <w:rPr>
          <w:rFonts w:ascii="Arial" w:hAnsi="Arial" w:cs="Arial"/>
          <w:sz w:val="22"/>
        </w:rPr>
        <w:t xml:space="preserve"> méthylation de </w:t>
      </w:r>
      <w:r>
        <w:rPr>
          <w:rFonts w:ascii="Arial" w:hAnsi="Arial" w:cs="Arial"/>
          <w:sz w:val="22"/>
        </w:rPr>
        <w:t xml:space="preserve">leur </w:t>
      </w:r>
      <w:r w:rsidRPr="009D7343">
        <w:rPr>
          <w:rFonts w:ascii="Arial" w:hAnsi="Arial" w:cs="Arial"/>
          <w:sz w:val="22"/>
        </w:rPr>
        <w:t>ADN.</w:t>
      </w:r>
      <w:r>
        <w:rPr>
          <w:rFonts w:ascii="Arial" w:hAnsi="Arial" w:cs="Arial"/>
          <w:sz w:val="22"/>
        </w:rPr>
        <w:t xml:space="preserve"> Nous avons montré qu’il reste difficile d’identifier </w:t>
      </w:r>
      <w:r w:rsidRPr="009D7343">
        <w:rPr>
          <w:rFonts w:ascii="Arial" w:hAnsi="Arial" w:cs="Arial"/>
          <w:sz w:val="22"/>
        </w:rPr>
        <w:t xml:space="preserve">et </w:t>
      </w:r>
      <w:r>
        <w:rPr>
          <w:rFonts w:ascii="Arial" w:hAnsi="Arial" w:cs="Arial"/>
          <w:sz w:val="22"/>
        </w:rPr>
        <w:t xml:space="preserve">de </w:t>
      </w:r>
      <w:r w:rsidRPr="009D7343">
        <w:rPr>
          <w:rFonts w:ascii="Arial" w:hAnsi="Arial" w:cs="Arial"/>
          <w:sz w:val="22"/>
        </w:rPr>
        <w:t xml:space="preserve">classer précisément les tumeurs </w:t>
      </w:r>
      <w:r>
        <w:rPr>
          <w:rFonts w:ascii="Arial" w:hAnsi="Arial" w:cs="Arial"/>
          <w:sz w:val="22"/>
        </w:rPr>
        <w:t xml:space="preserve">avec </w:t>
      </w:r>
      <w:r w:rsidRPr="009D7343">
        <w:rPr>
          <w:rFonts w:ascii="Arial" w:hAnsi="Arial" w:cs="Arial"/>
          <w:sz w:val="22"/>
        </w:rPr>
        <w:t xml:space="preserve">fusion </w:t>
      </w:r>
      <w:r>
        <w:rPr>
          <w:rFonts w:ascii="Arial" w:hAnsi="Arial" w:cs="Arial"/>
          <w:sz w:val="22"/>
        </w:rPr>
        <w:t xml:space="preserve">du gène </w:t>
      </w:r>
      <w:r w:rsidRPr="00FA322A">
        <w:rPr>
          <w:rFonts w:ascii="Arial" w:hAnsi="Arial" w:cs="Arial"/>
          <w:i/>
          <w:iCs/>
          <w:sz w:val="22"/>
        </w:rPr>
        <w:t>FGFR2</w:t>
      </w:r>
      <w:r>
        <w:rPr>
          <w:rFonts w:ascii="Arial" w:hAnsi="Arial" w:cs="Arial"/>
          <w:i/>
          <w:iCs/>
          <w:sz w:val="22"/>
        </w:rPr>
        <w:t xml:space="preserve"> </w:t>
      </w:r>
      <w:r w:rsidRPr="009D7343">
        <w:rPr>
          <w:rFonts w:ascii="Arial" w:hAnsi="Arial" w:cs="Arial"/>
          <w:sz w:val="22"/>
        </w:rPr>
        <w:t xml:space="preserve">avec les outils actuels comme l’analyse des tissus ou des profils génétiques. </w:t>
      </w:r>
      <w:r>
        <w:rPr>
          <w:rFonts w:ascii="Arial" w:hAnsi="Arial" w:cs="Arial"/>
          <w:sz w:val="22"/>
        </w:rPr>
        <w:t xml:space="preserve">En revanche, </w:t>
      </w:r>
      <w:r w:rsidRPr="009D7343">
        <w:rPr>
          <w:rFonts w:ascii="Arial" w:hAnsi="Arial" w:cs="Arial"/>
          <w:sz w:val="22"/>
        </w:rPr>
        <w:t>les données d’imagerie cérébrale montrent des différences marquées qui pourraient aider</w:t>
      </w:r>
      <w:r w:rsidRPr="00CE4CC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à </w:t>
      </w:r>
      <w:r w:rsidRPr="009D7343">
        <w:rPr>
          <w:rFonts w:ascii="Arial" w:hAnsi="Arial" w:cs="Arial"/>
          <w:sz w:val="22"/>
        </w:rPr>
        <w:t xml:space="preserve">mieux diagnostiquer </w:t>
      </w:r>
      <w:r>
        <w:rPr>
          <w:rFonts w:ascii="Arial" w:hAnsi="Arial" w:cs="Arial"/>
          <w:sz w:val="22"/>
        </w:rPr>
        <w:t>c</w:t>
      </w:r>
      <w:r w:rsidRPr="009D7343">
        <w:rPr>
          <w:rFonts w:ascii="Arial" w:hAnsi="Arial" w:cs="Arial"/>
          <w:sz w:val="22"/>
        </w:rPr>
        <w:t>es tumeurs rares et complexes chez des patients souvent jeunes</w:t>
      </w:r>
      <w:r>
        <w:rPr>
          <w:rFonts w:ascii="Arial" w:hAnsi="Arial" w:cs="Arial"/>
          <w:sz w:val="22"/>
        </w:rPr>
        <w:t xml:space="preserve">. </w:t>
      </w:r>
      <w:r w:rsidRPr="009D7343">
        <w:rPr>
          <w:rFonts w:ascii="Arial" w:hAnsi="Arial" w:cs="Arial"/>
          <w:sz w:val="22"/>
        </w:rPr>
        <w:t xml:space="preserve">D’autres études </w:t>
      </w:r>
      <w:r>
        <w:rPr>
          <w:rFonts w:ascii="Arial" w:hAnsi="Arial" w:cs="Arial"/>
          <w:sz w:val="22"/>
        </w:rPr>
        <w:t>sur de plus grandes séries</w:t>
      </w:r>
      <w:r w:rsidRPr="009D7343">
        <w:rPr>
          <w:rFonts w:ascii="Arial" w:hAnsi="Arial" w:cs="Arial"/>
          <w:sz w:val="22"/>
        </w:rPr>
        <w:t xml:space="preserve"> sont nécessaires pour confirmer ce</w:t>
      </w:r>
      <w:r>
        <w:rPr>
          <w:rFonts w:ascii="Arial" w:hAnsi="Arial" w:cs="Arial"/>
          <w:sz w:val="22"/>
        </w:rPr>
        <w:t>s premiers résultats et peut être à terme</w:t>
      </w:r>
      <w:r w:rsidRPr="009D7343">
        <w:rPr>
          <w:rFonts w:ascii="Arial" w:hAnsi="Arial" w:cs="Arial"/>
          <w:sz w:val="22"/>
        </w:rPr>
        <w:t xml:space="preserve"> </w:t>
      </w:r>
      <w:proofErr w:type="gramStart"/>
      <w:r w:rsidRPr="009D7343">
        <w:rPr>
          <w:rFonts w:ascii="Arial" w:hAnsi="Arial" w:cs="Arial"/>
          <w:sz w:val="22"/>
        </w:rPr>
        <w:t>affiner</w:t>
      </w:r>
      <w:proofErr w:type="gramEnd"/>
      <w:r w:rsidRPr="009D7343">
        <w:rPr>
          <w:rFonts w:ascii="Arial" w:hAnsi="Arial" w:cs="Arial"/>
          <w:sz w:val="22"/>
        </w:rPr>
        <w:t xml:space="preserve"> les méthodes de classification</w:t>
      </w:r>
      <w:r>
        <w:rPr>
          <w:rFonts w:ascii="Arial" w:hAnsi="Arial" w:cs="Arial"/>
          <w:sz w:val="22"/>
        </w:rPr>
        <w:t xml:space="preserve"> de ces tumeurs pour une meilleure prise en charge thérapeutique.</w:t>
      </w:r>
    </w:p>
    <w:p w:rsidR="001F469F" w:rsidRDefault="001F469F" w:rsidP="001F469F">
      <w:pPr>
        <w:jc w:val="both"/>
        <w:rPr>
          <w:rFonts w:ascii="Arial" w:hAnsi="Arial" w:cs="Arial"/>
          <w:sz w:val="22"/>
        </w:rPr>
      </w:pPr>
    </w:p>
    <w:p w:rsidR="001F469F" w:rsidRDefault="001F469F" w:rsidP="001F469F">
      <w:pPr>
        <w:jc w:val="both"/>
        <w:rPr>
          <w:rFonts w:ascii="Arial" w:hAnsi="Arial" w:cs="Arial"/>
          <w:sz w:val="22"/>
        </w:rPr>
      </w:pPr>
    </w:p>
    <w:p w:rsidR="00687A0D" w:rsidRDefault="00687A0D">
      <w:bookmarkStart w:id="0" w:name="_GoBack"/>
      <w:bookmarkEnd w:id="0"/>
    </w:p>
    <w:sectPr w:rsidR="0068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9F"/>
    <w:rsid w:val="001F469F"/>
    <w:rsid w:val="0068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jlqj4b">
    <w:name w:val="jlqj4b"/>
    <w:rsid w:val="001F46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jlqj4b">
    <w:name w:val="jlqj4b"/>
    <w:rsid w:val="001F4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couesnon</dc:creator>
  <cp:lastModifiedBy>couesnon</cp:lastModifiedBy>
  <cp:revision>1</cp:revision>
  <dcterms:created xsi:type="dcterms:W3CDTF">2025-01-17T13:24:00Z</dcterms:created>
  <dcterms:modified xsi:type="dcterms:W3CDTF">2025-01-17T13:24:00Z</dcterms:modified>
</cp:coreProperties>
</file>