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33" w:rsidRPr="00274164" w:rsidRDefault="00FB1933" w:rsidP="00FB1933">
      <w:pPr>
        <w:jc w:val="both"/>
        <w:rPr>
          <w:rFonts w:ascii="Arial" w:hAnsi="Arial" w:cs="Arial"/>
          <w:noProof/>
          <w:sz w:val="22"/>
        </w:rPr>
      </w:pPr>
      <w:r w:rsidRPr="00274164">
        <w:rPr>
          <w:rFonts w:ascii="Arial" w:hAnsi="Arial" w:cs="Arial"/>
          <w:noProof/>
          <w:sz w:val="22"/>
        </w:rPr>
        <w:t xml:space="preserve">Cet </w:t>
      </w:r>
      <w:r w:rsidRPr="00274164">
        <w:rPr>
          <w:rFonts w:ascii="Arial" w:hAnsi="Arial" w:cs="Arial"/>
          <w:b/>
          <w:noProof/>
          <w:sz w:val="22"/>
        </w:rPr>
        <w:t>article de</w:t>
      </w:r>
      <w:r w:rsidRPr="00274164">
        <w:rPr>
          <w:rFonts w:ascii="Arial" w:hAnsi="Arial" w:cs="Arial"/>
          <w:noProof/>
          <w:sz w:val="22"/>
        </w:rPr>
        <w:t xml:space="preserve"> </w:t>
      </w:r>
      <w:r w:rsidRPr="00274164">
        <w:rPr>
          <w:rFonts w:ascii="Arial" w:hAnsi="Arial" w:cs="Arial"/>
          <w:b/>
          <w:noProof/>
          <w:sz w:val="22"/>
        </w:rPr>
        <w:t>recherche translationnelle</w:t>
      </w:r>
      <w:r w:rsidRPr="00274164">
        <w:rPr>
          <w:rFonts w:ascii="Arial" w:hAnsi="Arial" w:cs="Arial"/>
          <w:noProof/>
          <w:sz w:val="22"/>
        </w:rPr>
        <w:t xml:space="preserve"> a été réalisé dans le cadre </w:t>
      </w:r>
      <w:r w:rsidRPr="009E5F5B">
        <w:rPr>
          <w:rFonts w:ascii="Arial" w:hAnsi="Arial" w:cs="Arial"/>
          <w:noProof/>
          <w:sz w:val="22"/>
        </w:rPr>
        <w:t>d’</w:t>
      </w:r>
      <w:r w:rsidRPr="009E5F5B">
        <w:rPr>
          <w:rFonts w:ascii="Arial" w:hAnsi="Arial" w:cs="Arial"/>
          <w:b/>
          <w:noProof/>
          <w:sz w:val="22"/>
        </w:rPr>
        <w:t>un projet collaboratif européen du SIOP-LGG (</w:t>
      </w:r>
      <w:r w:rsidRPr="009E5F5B">
        <w:rPr>
          <w:rFonts w:ascii="Arial" w:hAnsi="Arial" w:cs="Arial"/>
          <w:b/>
          <w:i/>
          <w:sz w:val="22"/>
        </w:rPr>
        <w:t xml:space="preserve">International Society of </w:t>
      </w:r>
      <w:proofErr w:type="spellStart"/>
      <w:r w:rsidRPr="009E5F5B">
        <w:rPr>
          <w:rFonts w:ascii="Arial" w:hAnsi="Arial" w:cs="Arial"/>
          <w:b/>
          <w:i/>
          <w:sz w:val="22"/>
        </w:rPr>
        <w:t>Paediatric</w:t>
      </w:r>
      <w:proofErr w:type="spellEnd"/>
      <w:r w:rsidRPr="009E5F5B">
        <w:rPr>
          <w:rFonts w:ascii="Arial" w:hAnsi="Arial" w:cs="Arial"/>
          <w:b/>
          <w:i/>
          <w:sz w:val="22"/>
        </w:rPr>
        <w:t xml:space="preserve"> </w:t>
      </w:r>
      <w:proofErr w:type="spellStart"/>
      <w:r w:rsidRPr="009E5F5B">
        <w:rPr>
          <w:rFonts w:ascii="Arial" w:hAnsi="Arial" w:cs="Arial"/>
          <w:b/>
          <w:i/>
          <w:sz w:val="22"/>
        </w:rPr>
        <w:t>Oncology</w:t>
      </w:r>
      <w:proofErr w:type="spellEnd"/>
      <w:r w:rsidRPr="009E5F5B">
        <w:rPr>
          <w:rFonts w:ascii="Arial" w:hAnsi="Arial" w:cs="Arial"/>
          <w:b/>
          <w:i/>
          <w:sz w:val="22"/>
        </w:rPr>
        <w:t>–</w:t>
      </w:r>
      <w:proofErr w:type="spellStart"/>
      <w:r w:rsidRPr="009E5F5B">
        <w:rPr>
          <w:rFonts w:ascii="Arial" w:hAnsi="Arial" w:cs="Arial"/>
          <w:b/>
          <w:i/>
          <w:sz w:val="22"/>
        </w:rPr>
        <w:t>Low</w:t>
      </w:r>
      <w:proofErr w:type="spellEnd"/>
      <w:r w:rsidRPr="009E5F5B">
        <w:rPr>
          <w:rFonts w:ascii="Arial" w:hAnsi="Arial" w:cs="Arial"/>
          <w:b/>
          <w:i/>
          <w:sz w:val="22"/>
        </w:rPr>
        <w:t xml:space="preserve"> Grade </w:t>
      </w:r>
      <w:proofErr w:type="spellStart"/>
      <w:r w:rsidRPr="009E5F5B">
        <w:rPr>
          <w:rFonts w:ascii="Arial" w:hAnsi="Arial" w:cs="Arial"/>
          <w:b/>
          <w:i/>
          <w:sz w:val="22"/>
        </w:rPr>
        <w:t>Glioma</w:t>
      </w:r>
      <w:proofErr w:type="spellEnd"/>
      <w:r w:rsidRPr="009E5F5B">
        <w:rPr>
          <w:rFonts w:ascii="Arial" w:hAnsi="Arial" w:cs="Arial"/>
          <w:b/>
          <w:sz w:val="22"/>
        </w:rPr>
        <w:t>)</w:t>
      </w:r>
      <w:r w:rsidRPr="009E5F5B">
        <w:rPr>
          <w:rFonts w:ascii="Arial" w:hAnsi="Arial" w:cs="Arial"/>
          <w:b/>
          <w:noProof/>
          <w:sz w:val="22"/>
        </w:rPr>
        <w:t>, qui est un groupe de travail européen dédié aux gliomes péadiatrique de bas grades</w:t>
      </w:r>
      <w:r w:rsidRPr="00274164">
        <w:rPr>
          <w:rFonts w:ascii="Arial" w:hAnsi="Arial" w:cs="Arial"/>
          <w:noProof/>
          <w:sz w:val="22"/>
        </w:rPr>
        <w:t xml:space="preserve"> et qui regroupe des équipes italiennes (Rome), allemandes (Heidelberg) et françaises (Marseille</w:t>
      </w:r>
      <w:r>
        <w:rPr>
          <w:rFonts w:ascii="Arial" w:hAnsi="Arial" w:cs="Arial"/>
          <w:noProof/>
          <w:sz w:val="22"/>
        </w:rPr>
        <w:t xml:space="preserve"> – Pr . D. Figarella-Branger</w:t>
      </w:r>
      <w:r w:rsidRPr="00274164">
        <w:rPr>
          <w:rFonts w:ascii="Arial" w:hAnsi="Arial" w:cs="Arial"/>
          <w:noProof/>
          <w:sz w:val="22"/>
        </w:rPr>
        <w:t>).</w:t>
      </w:r>
    </w:p>
    <w:p w:rsidR="00FB1933" w:rsidRPr="00274164" w:rsidRDefault="00FB1933" w:rsidP="00FB1933">
      <w:pPr>
        <w:jc w:val="both"/>
        <w:rPr>
          <w:rStyle w:val="jlqj4b"/>
          <w:rFonts w:ascii="Arial" w:hAnsi="Arial" w:cs="Arial"/>
          <w:sz w:val="22"/>
        </w:rPr>
      </w:pPr>
      <w:r w:rsidRPr="00274164">
        <w:rPr>
          <w:rFonts w:ascii="Arial" w:hAnsi="Arial" w:cs="Arial"/>
          <w:noProof/>
          <w:sz w:val="22"/>
        </w:rPr>
        <w:t xml:space="preserve">Ces gliomes de bas grades peuvent être traités dans la majorité des cas par une résection chirurgicale complète, avec un excellent pronostic à long terme. Toutefois, </w:t>
      </w:r>
      <w:r w:rsidRPr="00274164">
        <w:rPr>
          <w:rStyle w:val="jlqj4b"/>
          <w:rFonts w:ascii="Arial" w:hAnsi="Arial" w:cs="Arial"/>
          <w:sz w:val="22"/>
        </w:rPr>
        <w:t xml:space="preserve">certains gliomes pédiatriques </w:t>
      </w:r>
      <w:proofErr w:type="spellStart"/>
      <w:r w:rsidRPr="00274164">
        <w:rPr>
          <w:rStyle w:val="jlqj4b"/>
          <w:rFonts w:ascii="Arial" w:hAnsi="Arial" w:cs="Arial"/>
          <w:sz w:val="22"/>
        </w:rPr>
        <w:t>supratentoriels</w:t>
      </w:r>
      <w:proofErr w:type="spellEnd"/>
      <w:r w:rsidRPr="00274164">
        <w:rPr>
          <w:rStyle w:val="jlqj4b"/>
          <w:rFonts w:ascii="Arial" w:hAnsi="Arial" w:cs="Arial"/>
          <w:sz w:val="22"/>
        </w:rPr>
        <w:t xml:space="preserve"> n’ayant pas pu bénéficier d’une résection chirurgicale complète du fait de leur localisation peuvent récidiver (30% des cas), compromettant de fait le pronostic du patient qui devra de plus recevoir chimiothérapie et/ou radiothérapie adjuvantes. Il est donc crucial d’identifier au plus tôt les jeunes patients dont la tumeur résiduelle risque de progresser afin d’anticiper et d’optimiser leur prise en charge. </w:t>
      </w:r>
    </w:p>
    <w:p w:rsidR="00FB1933" w:rsidRPr="00274164" w:rsidRDefault="00FB1933" w:rsidP="00FB1933">
      <w:pPr>
        <w:jc w:val="both"/>
        <w:rPr>
          <w:rStyle w:val="jlqj4b"/>
          <w:rFonts w:ascii="Arial" w:hAnsi="Arial" w:cs="Arial"/>
          <w:noProof/>
          <w:sz w:val="22"/>
        </w:rPr>
      </w:pPr>
    </w:p>
    <w:p w:rsidR="00FB1933" w:rsidRPr="00274164" w:rsidRDefault="00FB1933" w:rsidP="00FB1933">
      <w:pPr>
        <w:jc w:val="both"/>
        <w:rPr>
          <w:rStyle w:val="jlqj4b"/>
          <w:rFonts w:ascii="Arial" w:hAnsi="Arial" w:cs="Arial"/>
          <w:sz w:val="22"/>
        </w:rPr>
      </w:pPr>
      <w:r w:rsidRPr="00274164">
        <w:rPr>
          <w:rStyle w:val="jlqj4b"/>
          <w:rFonts w:ascii="Arial" w:hAnsi="Arial" w:cs="Arial"/>
          <w:sz w:val="22"/>
        </w:rPr>
        <w:t xml:space="preserve">Cette étude rapporte la </w:t>
      </w:r>
      <w:r w:rsidRPr="00274164">
        <w:rPr>
          <w:rStyle w:val="jlqj4b"/>
          <w:rFonts w:ascii="Arial" w:hAnsi="Arial" w:cs="Arial"/>
          <w:b/>
          <w:sz w:val="22"/>
        </w:rPr>
        <w:t xml:space="preserve">mise en évidence de marqueurs spécifiques prédictifs de la progression de ces tumeurs </w:t>
      </w:r>
      <w:proofErr w:type="spellStart"/>
      <w:r w:rsidRPr="00274164">
        <w:rPr>
          <w:rStyle w:val="jlqj4b"/>
          <w:rFonts w:ascii="Arial" w:hAnsi="Arial" w:cs="Arial"/>
          <w:b/>
          <w:sz w:val="22"/>
        </w:rPr>
        <w:t>supratentorielles</w:t>
      </w:r>
      <w:proofErr w:type="spellEnd"/>
      <w:r w:rsidRPr="00274164">
        <w:rPr>
          <w:rStyle w:val="jlqj4b"/>
          <w:rFonts w:ascii="Arial" w:hAnsi="Arial" w:cs="Arial"/>
          <w:b/>
          <w:sz w:val="22"/>
        </w:rPr>
        <w:t xml:space="preserve"> opérées de manière incomplète</w:t>
      </w:r>
      <w:r w:rsidRPr="00274164">
        <w:rPr>
          <w:rStyle w:val="jlqj4b"/>
          <w:rFonts w:ascii="Arial" w:hAnsi="Arial" w:cs="Arial"/>
          <w:sz w:val="22"/>
        </w:rPr>
        <w:t xml:space="preserve">. Elles présenteraient des taux particuliers de certains </w:t>
      </w:r>
      <w:proofErr w:type="spellStart"/>
      <w:r w:rsidRPr="00274164">
        <w:rPr>
          <w:rStyle w:val="jlqj4b"/>
          <w:rFonts w:ascii="Arial" w:hAnsi="Arial" w:cs="Arial"/>
          <w:sz w:val="22"/>
        </w:rPr>
        <w:t>microARN</w:t>
      </w:r>
      <w:proofErr w:type="spellEnd"/>
      <w:r w:rsidRPr="00274164">
        <w:rPr>
          <w:rStyle w:val="jlqj4b"/>
          <w:rFonts w:ascii="Arial" w:hAnsi="Arial" w:cs="Arial"/>
          <w:sz w:val="22"/>
        </w:rPr>
        <w:t xml:space="preserve">. Ces </w:t>
      </w:r>
      <w:proofErr w:type="spellStart"/>
      <w:r w:rsidRPr="00274164">
        <w:rPr>
          <w:rStyle w:val="jlqj4b"/>
          <w:rFonts w:ascii="Arial" w:hAnsi="Arial" w:cs="Arial"/>
          <w:sz w:val="22"/>
        </w:rPr>
        <w:t>microARN</w:t>
      </w:r>
      <w:proofErr w:type="spellEnd"/>
      <w:r w:rsidRPr="00274164">
        <w:rPr>
          <w:rStyle w:val="jlqj4b"/>
          <w:rFonts w:ascii="Arial" w:hAnsi="Arial" w:cs="Arial"/>
          <w:sz w:val="22"/>
        </w:rPr>
        <w:t xml:space="preserve"> sont des régulateurs de gènes. Chez l’homme, plus de 2500 </w:t>
      </w:r>
      <w:proofErr w:type="spellStart"/>
      <w:r w:rsidRPr="00274164">
        <w:rPr>
          <w:rStyle w:val="jlqj4b"/>
          <w:rFonts w:ascii="Arial" w:hAnsi="Arial" w:cs="Arial"/>
          <w:sz w:val="22"/>
        </w:rPr>
        <w:t>microARN</w:t>
      </w:r>
      <w:proofErr w:type="spellEnd"/>
      <w:r w:rsidRPr="00274164">
        <w:rPr>
          <w:rStyle w:val="jlqj4b"/>
          <w:rFonts w:ascii="Arial" w:hAnsi="Arial" w:cs="Arial"/>
          <w:sz w:val="22"/>
        </w:rPr>
        <w:t xml:space="preserve"> ont été répertoriés à ce jour. Ce mécanisme de contrôle de l’expression des gènes est l’objet de perturbations importantes dans un contexte pathologique où des dérégulations de l’expression de ces </w:t>
      </w:r>
      <w:proofErr w:type="spellStart"/>
      <w:r w:rsidRPr="00274164">
        <w:rPr>
          <w:rStyle w:val="jlqj4b"/>
          <w:rFonts w:ascii="Arial" w:hAnsi="Arial" w:cs="Arial"/>
          <w:sz w:val="22"/>
        </w:rPr>
        <w:t>microARN</w:t>
      </w:r>
      <w:proofErr w:type="spellEnd"/>
      <w:r w:rsidRPr="00274164">
        <w:rPr>
          <w:rStyle w:val="jlqj4b"/>
          <w:rFonts w:ascii="Arial" w:hAnsi="Arial" w:cs="Arial"/>
          <w:sz w:val="22"/>
        </w:rPr>
        <w:t xml:space="preserve"> sont fréquemment observées.</w:t>
      </w:r>
    </w:p>
    <w:p w:rsidR="00FB1933" w:rsidRPr="00274164" w:rsidRDefault="00FB1933" w:rsidP="00FB1933">
      <w:pPr>
        <w:jc w:val="both"/>
        <w:rPr>
          <w:rStyle w:val="jlqj4b"/>
          <w:rFonts w:ascii="Arial" w:hAnsi="Arial" w:cs="Arial"/>
          <w:sz w:val="22"/>
        </w:rPr>
      </w:pPr>
      <w:r w:rsidRPr="00274164">
        <w:rPr>
          <w:rStyle w:val="jlqj4b"/>
          <w:rFonts w:ascii="Arial" w:hAnsi="Arial" w:cs="Arial"/>
          <w:sz w:val="22"/>
        </w:rPr>
        <w:t xml:space="preserve">Dans les tumeurs </w:t>
      </w:r>
      <w:proofErr w:type="spellStart"/>
      <w:r w:rsidRPr="00274164">
        <w:rPr>
          <w:rStyle w:val="jlqj4b"/>
          <w:rFonts w:ascii="Arial" w:hAnsi="Arial" w:cs="Arial"/>
          <w:sz w:val="22"/>
        </w:rPr>
        <w:t>supratentorielles</w:t>
      </w:r>
      <w:proofErr w:type="spellEnd"/>
      <w:r w:rsidRPr="00274164">
        <w:rPr>
          <w:rStyle w:val="jlqj4b"/>
          <w:rFonts w:ascii="Arial" w:hAnsi="Arial" w:cs="Arial"/>
          <w:sz w:val="22"/>
        </w:rPr>
        <w:t xml:space="preserve"> </w:t>
      </w:r>
      <w:r>
        <w:rPr>
          <w:rStyle w:val="jlqj4b"/>
          <w:rFonts w:ascii="Arial" w:hAnsi="Arial" w:cs="Arial"/>
          <w:sz w:val="22"/>
        </w:rPr>
        <w:t>pouvant récidiver</w:t>
      </w:r>
      <w:r w:rsidRPr="00274164">
        <w:rPr>
          <w:rStyle w:val="jlqj4b"/>
          <w:rFonts w:ascii="Arial" w:hAnsi="Arial" w:cs="Arial"/>
          <w:sz w:val="22"/>
        </w:rPr>
        <w:t xml:space="preserve">, des taux plus élevés de micro-ARN miR-1248 associés à des taux plus bas de miR-376a-3p et de miR-888-5p ont été identifiés. </w:t>
      </w:r>
    </w:p>
    <w:p w:rsidR="00FB1933" w:rsidRPr="00274164" w:rsidRDefault="00FB1933" w:rsidP="00FB1933">
      <w:pPr>
        <w:jc w:val="both"/>
        <w:rPr>
          <w:rStyle w:val="jlqj4b"/>
          <w:rFonts w:ascii="Arial" w:hAnsi="Arial" w:cs="Arial"/>
          <w:sz w:val="22"/>
        </w:rPr>
      </w:pPr>
    </w:p>
    <w:p w:rsidR="00FB1933" w:rsidRDefault="00FB1933" w:rsidP="00FB1933">
      <w:pPr>
        <w:jc w:val="both"/>
        <w:rPr>
          <w:rStyle w:val="jlqj4b"/>
          <w:rFonts w:ascii="Arial" w:hAnsi="Arial" w:cs="Arial"/>
          <w:sz w:val="22"/>
        </w:rPr>
      </w:pPr>
      <w:r w:rsidRPr="00274164">
        <w:rPr>
          <w:rStyle w:val="jlqj4b"/>
          <w:rFonts w:ascii="Arial" w:hAnsi="Arial" w:cs="Arial"/>
          <w:sz w:val="22"/>
        </w:rPr>
        <w:t xml:space="preserve">Ces biomarqueurs spécifiques devraient permettre de </w:t>
      </w:r>
      <w:r w:rsidRPr="00274164">
        <w:rPr>
          <w:rStyle w:val="jlqj4b"/>
          <w:rFonts w:ascii="Arial" w:hAnsi="Arial" w:cs="Arial"/>
          <w:b/>
          <w:sz w:val="22"/>
        </w:rPr>
        <w:t xml:space="preserve">stratifier ces jeunes patients en fonction de leur risque </w:t>
      </w:r>
      <w:r w:rsidRPr="00274164">
        <w:rPr>
          <w:rStyle w:val="jlqj4b"/>
          <w:rFonts w:ascii="Arial" w:hAnsi="Arial" w:cs="Arial"/>
          <w:sz w:val="22"/>
        </w:rPr>
        <w:t xml:space="preserve">suite à une résection chirurgicale incomplète de leur tumeur, et </w:t>
      </w:r>
      <w:r w:rsidRPr="00274164">
        <w:rPr>
          <w:rStyle w:val="jlqj4b"/>
          <w:rFonts w:ascii="Arial" w:hAnsi="Arial" w:cs="Arial"/>
          <w:b/>
          <w:sz w:val="22"/>
        </w:rPr>
        <w:t xml:space="preserve">aider l’orientation des choix thérapeutiques pour optimiser leur prise en charge </w:t>
      </w:r>
      <w:r w:rsidRPr="00274164">
        <w:rPr>
          <w:rStyle w:val="jlqj4b"/>
          <w:rFonts w:ascii="Arial" w:hAnsi="Arial" w:cs="Arial"/>
          <w:sz w:val="22"/>
        </w:rPr>
        <w:t xml:space="preserve">et leur éviter dans la mesure du possible des cycles répétés de traitement avec parfois des </w:t>
      </w:r>
      <w:r>
        <w:rPr>
          <w:rStyle w:val="jlqj4b"/>
          <w:rFonts w:ascii="Arial" w:hAnsi="Arial" w:cs="Arial"/>
          <w:sz w:val="22"/>
        </w:rPr>
        <w:t>effets secondaires associés</w:t>
      </w:r>
      <w:r w:rsidRPr="00274164">
        <w:rPr>
          <w:rStyle w:val="jlqj4b"/>
          <w:rFonts w:ascii="Arial" w:hAnsi="Arial" w:cs="Arial"/>
          <w:sz w:val="22"/>
        </w:rPr>
        <w:t>.</w:t>
      </w:r>
    </w:p>
    <w:p w:rsidR="00FB1933" w:rsidRDefault="00FB1933" w:rsidP="00FB1933">
      <w:pPr>
        <w:jc w:val="both"/>
        <w:rPr>
          <w:rStyle w:val="jlqj4b"/>
          <w:rFonts w:ascii="Arial" w:hAnsi="Arial" w:cs="Arial"/>
          <w:sz w:val="22"/>
        </w:rPr>
      </w:pPr>
    </w:p>
    <w:p w:rsidR="00687A0D" w:rsidRDefault="00687A0D">
      <w:bookmarkStart w:id="0" w:name="_GoBack"/>
      <w:bookmarkEnd w:id="0"/>
    </w:p>
    <w:sectPr w:rsidR="00687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33"/>
    <w:rsid w:val="00687A0D"/>
    <w:rsid w:val="00F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rsid w:val="00FB1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rsid w:val="00FB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couesnon</dc:creator>
  <cp:lastModifiedBy>couesnon</cp:lastModifiedBy>
  <cp:revision>1</cp:revision>
  <dcterms:created xsi:type="dcterms:W3CDTF">2022-10-12T15:40:00Z</dcterms:created>
  <dcterms:modified xsi:type="dcterms:W3CDTF">2022-10-12T15:41:00Z</dcterms:modified>
</cp:coreProperties>
</file>