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E295" w14:textId="77777777" w:rsidR="00020F33" w:rsidRPr="00020F33" w:rsidRDefault="00020F33" w:rsidP="00020F33">
      <w:pPr>
        <w:rPr>
          <w:b/>
          <w:bCs/>
        </w:rPr>
      </w:pPr>
      <w:r w:rsidRPr="00020F33">
        <w:rPr>
          <w:b/>
          <w:bCs/>
        </w:rPr>
        <w:t>Résumé</w:t>
      </w:r>
    </w:p>
    <w:p w14:paraId="00702C6B" w14:textId="77777777" w:rsidR="00020F33" w:rsidRPr="00020F33" w:rsidRDefault="00020F33" w:rsidP="00020F33">
      <w:r w:rsidRPr="00020F33">
        <w:t>Les gliomes diffus de bas grade (DLGG) sont des tumeurs cérébrales du jeune adulte qui prennent pour origine les cellules gliales. Ces tumeurs se caractérisent par une mutation sur les gènes IDH, impliqués dans le métabolisme. Dans 70 % des cas, cette mutation est localisée au niveau du gène IDH1 et conduit à l'expression de la protéine mutée IDH1 R132H. Les DLGG IDH1 mutés sont classés en deux groupes. Les oligodendrogliomes ont une délétion des bras chromosomiques 1p et 19 q. Les astrocytomes présentent une perte d'ATRX et à un profil d'élongation aléatoire des télomères (ALT). Ces tumeurs, classées grade 2, progressent lentement, mais deviennent rapidement des tumeurs de grades 3 et 4, plus agressives. Nos recherches, ainsi que celles d'autres équipes, identifie trois sous-types cellulaires tumoraux distincts dans ces gliomes IDH1 : «</w:t>
      </w:r>
      <w:r w:rsidRPr="00020F33">
        <w:rPr>
          <w:rFonts w:ascii="Arial" w:hAnsi="Arial" w:cs="Arial"/>
        </w:rPr>
        <w:t> </w:t>
      </w:r>
      <w:r w:rsidRPr="00020F33">
        <w:t xml:space="preserve">neural </w:t>
      </w:r>
      <w:proofErr w:type="spellStart"/>
      <w:r w:rsidRPr="00020F33">
        <w:t>progenitor</w:t>
      </w:r>
      <w:proofErr w:type="spellEnd"/>
      <w:r w:rsidRPr="00020F33">
        <w:t xml:space="preserve"> ou NPC like-</w:t>
      </w:r>
      <w:proofErr w:type="spellStart"/>
      <w:r w:rsidRPr="00020F33">
        <w:t>cell</w:t>
      </w:r>
      <w:proofErr w:type="spellEnd"/>
      <w:r w:rsidRPr="00020F33">
        <w:rPr>
          <w:rFonts w:ascii="Arial" w:hAnsi="Arial" w:cs="Arial"/>
        </w:rPr>
        <w:t> </w:t>
      </w:r>
      <w:r w:rsidRPr="00020F33">
        <w:rPr>
          <w:rFonts w:ascii="Aptos" w:hAnsi="Aptos" w:cs="Aptos"/>
        </w:rPr>
        <w:t>»</w:t>
      </w:r>
      <w:r w:rsidRPr="00020F33">
        <w:t xml:space="preserve">, </w:t>
      </w:r>
      <w:r w:rsidRPr="00020F33">
        <w:rPr>
          <w:rFonts w:ascii="Aptos" w:hAnsi="Aptos" w:cs="Aptos"/>
        </w:rPr>
        <w:t>«</w:t>
      </w:r>
      <w:r w:rsidRPr="00020F33">
        <w:rPr>
          <w:rFonts w:ascii="Arial" w:hAnsi="Arial" w:cs="Arial"/>
        </w:rPr>
        <w:t> </w:t>
      </w:r>
      <w:r w:rsidRPr="00020F33">
        <w:t>astrocyte-like</w:t>
      </w:r>
      <w:r w:rsidRPr="00020F33">
        <w:rPr>
          <w:rFonts w:ascii="Arial" w:hAnsi="Arial" w:cs="Arial"/>
        </w:rPr>
        <w:t> </w:t>
      </w:r>
      <w:r w:rsidRPr="00020F33">
        <w:rPr>
          <w:rFonts w:ascii="Aptos" w:hAnsi="Aptos" w:cs="Aptos"/>
        </w:rPr>
        <w:t>»</w:t>
      </w:r>
      <w:r w:rsidRPr="00020F33">
        <w:t xml:space="preserve"> et </w:t>
      </w:r>
      <w:r w:rsidRPr="00020F33">
        <w:rPr>
          <w:rFonts w:ascii="Aptos" w:hAnsi="Aptos" w:cs="Aptos"/>
        </w:rPr>
        <w:t>«</w:t>
      </w:r>
      <w:r w:rsidRPr="00020F33">
        <w:rPr>
          <w:rFonts w:ascii="Arial" w:hAnsi="Arial" w:cs="Arial"/>
        </w:rPr>
        <w:t> </w:t>
      </w:r>
      <w:r w:rsidRPr="00020F33">
        <w:t>oligodendrocyte-like</w:t>
      </w:r>
      <w:r w:rsidRPr="00020F33">
        <w:rPr>
          <w:rFonts w:ascii="Arial" w:hAnsi="Arial" w:cs="Arial"/>
        </w:rPr>
        <w:t> </w:t>
      </w:r>
      <w:r w:rsidRPr="00020F33">
        <w:rPr>
          <w:rFonts w:ascii="Aptos" w:hAnsi="Aptos" w:cs="Aptos"/>
        </w:rPr>
        <w:t>»</w:t>
      </w:r>
      <w:r w:rsidRPr="00020F33">
        <w:t>. Ces cellules se rapprochent des cellules souches neurales, des astrocytes et des oligodendrocytes. Seule la fraction NPC-like est proliférative. De plus, des cellules dans un état similaire à la quiescence, appelées « Neural G0 » sont présentes dans ces tumeurs. L'hétérogénéité cellulaire dans les DLGG explique en partie l'échec des thérapies actuelles. Si l'identité de ces sous-populations est caractérisée, il reste difficile à ce jour d'en étudier leurs propriétés, notamment leur rôle dans la formation et le maintien de l'hétérogénéité cellulaire. Le principal obstacle à l'étude de ces propriétés est l'accès limité à des modèles in vitro et in vivo pertinents. C'est dans ce contexte que notre laboratoire a dérivé des lignées à partir de résections tumorales de patients. Le premier objectif de ce projet a été de caractériser 4 lignées (grade 2 et 4) d'astrocytomes. Les lignées de grade 4 prolifèrent plus vite que les lignées de grade 2 et envahissent le cerveau après greffe chez la souris. Certaines lignées cellulaires présentent la mutation IDH1 et/ou la perte d'ATRX, conduisant au phénotype ALT, ainsi que des altérations génétiques (perte de CDKN2A, amplification de PDGFRA et de MET) liées à la progression tumorale. Nous avons aussi démontré la présence des trois sous-types cellulaires connus dans les astrocytomes, ainsi que celle des cellules « Neural G0 » en particulier dans la lignée LGG275. Nous avons identifié deux états dans les cellules « Neural G0 » : les cellules dans une quiescence profonde au phénotype « astrocyte-like », et les cellules dans une quiescence partielle, « oligodendrocyte-like ». Pour analyser ces deux populations séparément, nous avons développé un protocole de tri. Des analyses haut débit ont révélé des propriétés distinctes entre les deux populations. Les cellules «</w:t>
      </w:r>
      <w:r w:rsidRPr="00020F33">
        <w:rPr>
          <w:rFonts w:ascii="Arial" w:hAnsi="Arial" w:cs="Arial"/>
        </w:rPr>
        <w:t> </w:t>
      </w:r>
      <w:r w:rsidRPr="00020F33">
        <w:t>astrocyte-like</w:t>
      </w:r>
      <w:r w:rsidRPr="00020F33">
        <w:rPr>
          <w:rFonts w:ascii="Arial" w:hAnsi="Arial" w:cs="Arial"/>
        </w:rPr>
        <w:t> </w:t>
      </w:r>
      <w:r w:rsidRPr="00020F33">
        <w:rPr>
          <w:rFonts w:ascii="Aptos" w:hAnsi="Aptos" w:cs="Aptos"/>
        </w:rPr>
        <w:t>»</w:t>
      </w:r>
      <w:r w:rsidRPr="00020F33">
        <w:t xml:space="preserve"> ont un profil mol</w:t>
      </w:r>
      <w:r w:rsidRPr="00020F33">
        <w:rPr>
          <w:rFonts w:ascii="Aptos" w:hAnsi="Aptos" w:cs="Aptos"/>
        </w:rPr>
        <w:t>é</w:t>
      </w:r>
      <w:r w:rsidRPr="00020F33">
        <w:t xml:space="preserve">culaire similaire </w:t>
      </w:r>
      <w:r w:rsidRPr="00020F33">
        <w:rPr>
          <w:rFonts w:ascii="Aptos" w:hAnsi="Aptos" w:cs="Aptos"/>
        </w:rPr>
        <w:t>à</w:t>
      </w:r>
      <w:r w:rsidRPr="00020F33">
        <w:t xml:space="preserve"> celui des cellules souches neurales quiescentes (NSC) et sont tr</w:t>
      </w:r>
      <w:r w:rsidRPr="00020F33">
        <w:rPr>
          <w:rFonts w:ascii="Aptos" w:hAnsi="Aptos" w:cs="Aptos"/>
        </w:rPr>
        <w:t>è</w:t>
      </w:r>
      <w:r w:rsidRPr="00020F33">
        <w:t>s plastiques. Elles sont capables in vitro de transitionner vers un ph</w:t>
      </w:r>
      <w:r w:rsidRPr="00020F33">
        <w:rPr>
          <w:rFonts w:ascii="Aptos" w:hAnsi="Aptos" w:cs="Aptos"/>
        </w:rPr>
        <w:t>é</w:t>
      </w:r>
      <w:r w:rsidRPr="00020F33">
        <w:t xml:space="preserve">notype </w:t>
      </w:r>
      <w:r w:rsidRPr="00020F33">
        <w:rPr>
          <w:rFonts w:ascii="Aptos" w:hAnsi="Aptos" w:cs="Aptos"/>
        </w:rPr>
        <w:t>«</w:t>
      </w:r>
      <w:r w:rsidRPr="00020F33">
        <w:rPr>
          <w:rFonts w:ascii="Arial" w:hAnsi="Arial" w:cs="Arial"/>
        </w:rPr>
        <w:t> </w:t>
      </w:r>
      <w:r w:rsidRPr="00020F33">
        <w:t>oligodendrocyte-like</w:t>
      </w:r>
      <w:r w:rsidRPr="00020F33">
        <w:rPr>
          <w:rFonts w:ascii="Arial" w:hAnsi="Arial" w:cs="Arial"/>
        </w:rPr>
        <w:t> </w:t>
      </w:r>
      <w:r w:rsidRPr="00020F33">
        <w:rPr>
          <w:rFonts w:ascii="Aptos" w:hAnsi="Aptos" w:cs="Aptos"/>
        </w:rPr>
        <w:t>»</w:t>
      </w:r>
      <w:r w:rsidRPr="00020F33">
        <w:t>, indiquant un r</w:t>
      </w:r>
      <w:r w:rsidRPr="00020F33">
        <w:rPr>
          <w:rFonts w:ascii="Aptos" w:hAnsi="Aptos" w:cs="Aptos"/>
        </w:rPr>
        <w:t>ô</w:t>
      </w:r>
      <w:r w:rsidRPr="00020F33">
        <w:t>le majeur dans la formation et le maintien de l'h</w:t>
      </w:r>
      <w:r w:rsidRPr="00020F33">
        <w:rPr>
          <w:rFonts w:ascii="Aptos" w:hAnsi="Aptos" w:cs="Aptos"/>
        </w:rPr>
        <w:t>é</w:t>
      </w:r>
      <w:r w:rsidRPr="00020F33">
        <w:t>t</w:t>
      </w:r>
      <w:r w:rsidRPr="00020F33">
        <w:rPr>
          <w:rFonts w:ascii="Aptos" w:hAnsi="Aptos" w:cs="Aptos"/>
        </w:rPr>
        <w:t>é</w:t>
      </w:r>
      <w:r w:rsidRPr="00020F33">
        <w:t>rog</w:t>
      </w:r>
      <w:r w:rsidRPr="00020F33">
        <w:rPr>
          <w:rFonts w:ascii="Aptos" w:hAnsi="Aptos" w:cs="Aptos"/>
        </w:rPr>
        <w:t>é</w:t>
      </w:r>
      <w:r w:rsidRPr="00020F33">
        <w:t>n</w:t>
      </w:r>
      <w:r w:rsidRPr="00020F33">
        <w:rPr>
          <w:rFonts w:ascii="Aptos" w:hAnsi="Aptos" w:cs="Aptos"/>
        </w:rPr>
        <w:t>é</w:t>
      </w:r>
      <w:r w:rsidRPr="00020F33">
        <w:t>it</w:t>
      </w:r>
      <w:r w:rsidRPr="00020F33">
        <w:rPr>
          <w:rFonts w:ascii="Aptos" w:hAnsi="Aptos" w:cs="Aptos"/>
        </w:rPr>
        <w:t>é</w:t>
      </w:r>
      <w:r w:rsidRPr="00020F33">
        <w:t xml:space="preserve"> cellulaire dans les </w:t>
      </w:r>
      <w:proofErr w:type="gramStart"/>
      <w:r w:rsidRPr="00020F33">
        <w:t>astrocytomes</w:t>
      </w:r>
      <w:proofErr w:type="gramEnd"/>
      <w:r w:rsidRPr="00020F33">
        <w:t>. Les cellules «</w:t>
      </w:r>
      <w:r w:rsidRPr="00020F33">
        <w:rPr>
          <w:rFonts w:ascii="Arial" w:hAnsi="Arial" w:cs="Arial"/>
        </w:rPr>
        <w:t> </w:t>
      </w:r>
      <w:r w:rsidRPr="00020F33">
        <w:t>oligodendrocyte-like</w:t>
      </w:r>
      <w:r w:rsidRPr="00020F33">
        <w:rPr>
          <w:rFonts w:ascii="Arial" w:hAnsi="Arial" w:cs="Arial"/>
        </w:rPr>
        <w:t> </w:t>
      </w:r>
      <w:r w:rsidRPr="00020F33">
        <w:rPr>
          <w:rFonts w:ascii="Aptos" w:hAnsi="Aptos" w:cs="Aptos"/>
        </w:rPr>
        <w:t>»</w:t>
      </w:r>
      <w:r w:rsidRPr="00020F33">
        <w:t xml:space="preserve"> ressemblent </w:t>
      </w:r>
      <w:r w:rsidRPr="00020F33">
        <w:rPr>
          <w:rFonts w:ascii="Aptos" w:hAnsi="Aptos" w:cs="Aptos"/>
        </w:rPr>
        <w:t>à</w:t>
      </w:r>
      <w:r w:rsidRPr="00020F33">
        <w:t xml:space="preserve"> des NSC actives, et expriment de nombreux g</w:t>
      </w:r>
      <w:r w:rsidRPr="00020F33">
        <w:rPr>
          <w:rFonts w:ascii="Aptos" w:hAnsi="Aptos" w:cs="Aptos"/>
        </w:rPr>
        <w:t>è</w:t>
      </w:r>
      <w:r w:rsidRPr="00020F33">
        <w:t>nes impliqu</w:t>
      </w:r>
      <w:r w:rsidRPr="00020F33">
        <w:rPr>
          <w:rFonts w:ascii="Aptos" w:hAnsi="Aptos" w:cs="Aptos"/>
        </w:rPr>
        <w:t>é</w:t>
      </w:r>
      <w:r w:rsidRPr="00020F33">
        <w:t>s dans le cycle cellulaire. Elles ont une plasticit</w:t>
      </w:r>
      <w:r w:rsidRPr="00020F33">
        <w:rPr>
          <w:rFonts w:ascii="Aptos" w:hAnsi="Aptos" w:cs="Aptos"/>
        </w:rPr>
        <w:t>é</w:t>
      </w:r>
      <w:r w:rsidRPr="00020F33">
        <w:t xml:space="preserve"> limit</w:t>
      </w:r>
      <w:r w:rsidRPr="00020F33">
        <w:rPr>
          <w:rFonts w:ascii="Aptos" w:hAnsi="Aptos" w:cs="Aptos"/>
        </w:rPr>
        <w:t>é</w:t>
      </w:r>
      <w:r w:rsidRPr="00020F33">
        <w:t>e. En effet ces cellules ont besoin de facteurs extrins</w:t>
      </w:r>
      <w:r w:rsidRPr="00020F33">
        <w:rPr>
          <w:rFonts w:ascii="Aptos" w:hAnsi="Aptos" w:cs="Aptos"/>
        </w:rPr>
        <w:t>è</w:t>
      </w:r>
      <w:r w:rsidRPr="00020F33">
        <w:t xml:space="preserve">ques transitionner vers un </w:t>
      </w:r>
      <w:r w:rsidRPr="00020F33">
        <w:lastRenderedPageBreak/>
        <w:t>ph</w:t>
      </w:r>
      <w:r w:rsidRPr="00020F33">
        <w:rPr>
          <w:rFonts w:ascii="Aptos" w:hAnsi="Aptos" w:cs="Aptos"/>
        </w:rPr>
        <w:t>é</w:t>
      </w:r>
      <w:r w:rsidRPr="00020F33">
        <w:t xml:space="preserve">notype </w:t>
      </w:r>
      <w:r w:rsidRPr="00020F33">
        <w:rPr>
          <w:rFonts w:ascii="Aptos" w:hAnsi="Aptos" w:cs="Aptos"/>
        </w:rPr>
        <w:t>«</w:t>
      </w:r>
      <w:r w:rsidRPr="00020F33">
        <w:rPr>
          <w:rFonts w:ascii="Arial" w:hAnsi="Arial" w:cs="Arial"/>
        </w:rPr>
        <w:t> </w:t>
      </w:r>
      <w:r w:rsidRPr="00020F33">
        <w:t>astrocyte-like</w:t>
      </w:r>
      <w:r w:rsidRPr="00020F33">
        <w:rPr>
          <w:rFonts w:ascii="Arial" w:hAnsi="Arial" w:cs="Arial"/>
        </w:rPr>
        <w:t> </w:t>
      </w:r>
      <w:r w:rsidRPr="00020F33">
        <w:rPr>
          <w:rFonts w:ascii="Aptos" w:hAnsi="Aptos" w:cs="Aptos"/>
        </w:rPr>
        <w:t>»</w:t>
      </w:r>
      <w:r w:rsidRPr="00020F33">
        <w:t>. Nous avons montr</w:t>
      </w:r>
      <w:r w:rsidRPr="00020F33">
        <w:rPr>
          <w:rFonts w:ascii="Aptos" w:hAnsi="Aptos" w:cs="Aptos"/>
        </w:rPr>
        <w:t>é</w:t>
      </w:r>
      <w:r w:rsidRPr="00020F33">
        <w:t xml:space="preserve"> que la voie NOTCH est impliqu</w:t>
      </w:r>
      <w:r w:rsidRPr="00020F33">
        <w:rPr>
          <w:rFonts w:ascii="Aptos" w:hAnsi="Aptos" w:cs="Aptos"/>
        </w:rPr>
        <w:t>é</w:t>
      </w:r>
      <w:r w:rsidRPr="00020F33">
        <w:t>e dans ces ph</w:t>
      </w:r>
      <w:r w:rsidRPr="00020F33">
        <w:rPr>
          <w:rFonts w:ascii="Aptos" w:hAnsi="Aptos" w:cs="Aptos"/>
        </w:rPr>
        <w:t>é</w:t>
      </w:r>
      <w:r w:rsidRPr="00020F33">
        <w:t>nom</w:t>
      </w:r>
      <w:r w:rsidRPr="00020F33">
        <w:rPr>
          <w:rFonts w:ascii="Aptos" w:hAnsi="Aptos" w:cs="Aptos"/>
        </w:rPr>
        <w:t>è</w:t>
      </w:r>
      <w:r w:rsidRPr="00020F33">
        <w:t>nes de transition cellulaire. L'ensemble des r</w:t>
      </w:r>
      <w:r w:rsidRPr="00020F33">
        <w:rPr>
          <w:rFonts w:ascii="Aptos" w:hAnsi="Aptos" w:cs="Aptos"/>
        </w:rPr>
        <w:t>é</w:t>
      </w:r>
      <w:r w:rsidRPr="00020F33">
        <w:t>sultats nous indique que, dans les astrocytomes, les sous-populations cellulaires poss</w:t>
      </w:r>
      <w:r w:rsidRPr="00020F33">
        <w:rPr>
          <w:rFonts w:ascii="Aptos" w:hAnsi="Aptos" w:cs="Aptos"/>
        </w:rPr>
        <w:t>è</w:t>
      </w:r>
      <w:r w:rsidRPr="00020F33">
        <w:t>dent une identité souche commune, oscillant entre 3 états différents : quiescent («</w:t>
      </w:r>
      <w:r w:rsidRPr="00020F33">
        <w:rPr>
          <w:rFonts w:ascii="Arial" w:hAnsi="Arial" w:cs="Arial"/>
        </w:rPr>
        <w:t> </w:t>
      </w:r>
      <w:r w:rsidRPr="00020F33">
        <w:t>astrocyte-like</w:t>
      </w:r>
      <w:r w:rsidRPr="00020F33">
        <w:rPr>
          <w:rFonts w:ascii="Arial" w:hAnsi="Arial" w:cs="Arial"/>
        </w:rPr>
        <w:t> </w:t>
      </w:r>
      <w:r w:rsidRPr="00020F33">
        <w:rPr>
          <w:rFonts w:ascii="Aptos" w:hAnsi="Aptos" w:cs="Aptos"/>
        </w:rPr>
        <w:t>»</w:t>
      </w:r>
      <w:r w:rsidRPr="00020F33">
        <w:t>), actif (</w:t>
      </w:r>
      <w:r w:rsidRPr="00020F33">
        <w:rPr>
          <w:rFonts w:ascii="Aptos" w:hAnsi="Aptos" w:cs="Aptos"/>
        </w:rPr>
        <w:t>«</w:t>
      </w:r>
      <w:r w:rsidRPr="00020F33">
        <w:rPr>
          <w:rFonts w:ascii="Arial" w:hAnsi="Arial" w:cs="Arial"/>
        </w:rPr>
        <w:t> </w:t>
      </w:r>
      <w:r w:rsidRPr="00020F33">
        <w:t>oligodendrocyte-like</w:t>
      </w:r>
      <w:r w:rsidRPr="00020F33">
        <w:rPr>
          <w:rFonts w:ascii="Arial" w:hAnsi="Arial" w:cs="Arial"/>
        </w:rPr>
        <w:t> </w:t>
      </w:r>
      <w:r w:rsidRPr="00020F33">
        <w:rPr>
          <w:rFonts w:ascii="Aptos" w:hAnsi="Aptos" w:cs="Aptos"/>
        </w:rPr>
        <w:t>»</w:t>
      </w:r>
      <w:r w:rsidRPr="00020F33">
        <w:t>) et prolif</w:t>
      </w:r>
      <w:r w:rsidRPr="00020F33">
        <w:rPr>
          <w:rFonts w:ascii="Aptos" w:hAnsi="Aptos" w:cs="Aptos"/>
        </w:rPr>
        <w:t>é</w:t>
      </w:r>
      <w:r w:rsidRPr="00020F33">
        <w:t>ratif (</w:t>
      </w:r>
      <w:r w:rsidRPr="00020F33">
        <w:rPr>
          <w:rFonts w:ascii="Aptos" w:hAnsi="Aptos" w:cs="Aptos"/>
        </w:rPr>
        <w:t>«</w:t>
      </w:r>
      <w:r w:rsidRPr="00020F33">
        <w:rPr>
          <w:rFonts w:ascii="Arial" w:hAnsi="Arial" w:cs="Arial"/>
        </w:rPr>
        <w:t> </w:t>
      </w:r>
      <w:r w:rsidRPr="00020F33">
        <w:t>NPC-like</w:t>
      </w:r>
      <w:r w:rsidRPr="00020F33">
        <w:rPr>
          <w:rFonts w:ascii="Arial" w:hAnsi="Arial" w:cs="Arial"/>
        </w:rPr>
        <w:t> </w:t>
      </w:r>
      <w:r w:rsidRPr="00020F33">
        <w:rPr>
          <w:rFonts w:ascii="Aptos" w:hAnsi="Aptos" w:cs="Aptos"/>
        </w:rPr>
        <w:t>»</w:t>
      </w:r>
      <w:r w:rsidRPr="00020F33">
        <w:t>), avec chacun des propri</w:t>
      </w:r>
      <w:r w:rsidRPr="00020F33">
        <w:rPr>
          <w:rFonts w:ascii="Aptos" w:hAnsi="Aptos" w:cs="Aptos"/>
        </w:rPr>
        <w:t>é</w:t>
      </w:r>
      <w:r w:rsidRPr="00020F33">
        <w:t>t</w:t>
      </w:r>
      <w:r w:rsidRPr="00020F33">
        <w:rPr>
          <w:rFonts w:ascii="Aptos" w:hAnsi="Aptos" w:cs="Aptos"/>
        </w:rPr>
        <w:t>é</w:t>
      </w:r>
      <w:r w:rsidRPr="00020F33">
        <w:t xml:space="preserve">s propres. La modulation de la voix NOTCH facilite la transition d'un </w:t>
      </w:r>
      <w:r w:rsidRPr="00020F33">
        <w:rPr>
          <w:rFonts w:ascii="Aptos" w:hAnsi="Aptos" w:cs="Aptos"/>
        </w:rPr>
        <w:t>é</w:t>
      </w:r>
      <w:r w:rsidRPr="00020F33">
        <w:t>tat vers un autre.</w:t>
      </w:r>
    </w:p>
    <w:p w14:paraId="5692E341" w14:textId="77777777" w:rsidR="00A67425" w:rsidRDefault="00A67425"/>
    <w:sectPr w:rsidR="00A67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33"/>
    <w:rsid w:val="00020F33"/>
    <w:rsid w:val="00892FB0"/>
    <w:rsid w:val="00A67425"/>
    <w:rsid w:val="00EE35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5637C"/>
  <w15:chartTrackingRefBased/>
  <w15:docId w15:val="{6AC763BA-6F9C-47C9-B991-9CBEADA3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0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0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0F3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0F3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0F3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0F3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0F3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0F3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0F3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0F3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0F3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0F3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0F3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0F3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0F3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0F3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0F3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0F33"/>
    <w:rPr>
      <w:rFonts w:eastAsiaTheme="majorEastAsia" w:cstheme="majorBidi"/>
      <w:color w:val="272727" w:themeColor="text1" w:themeTint="D8"/>
    </w:rPr>
  </w:style>
  <w:style w:type="paragraph" w:styleId="Titre">
    <w:name w:val="Title"/>
    <w:basedOn w:val="Normal"/>
    <w:next w:val="Normal"/>
    <w:link w:val="TitreCar"/>
    <w:uiPriority w:val="10"/>
    <w:qFormat/>
    <w:rsid w:val="00020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0F3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0F3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0F3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0F33"/>
    <w:pPr>
      <w:spacing w:before="160"/>
      <w:jc w:val="center"/>
    </w:pPr>
    <w:rPr>
      <w:i/>
      <w:iCs/>
      <w:color w:val="404040" w:themeColor="text1" w:themeTint="BF"/>
    </w:rPr>
  </w:style>
  <w:style w:type="character" w:customStyle="1" w:styleId="CitationCar">
    <w:name w:val="Citation Car"/>
    <w:basedOn w:val="Policepardfaut"/>
    <w:link w:val="Citation"/>
    <w:uiPriority w:val="29"/>
    <w:rsid w:val="00020F33"/>
    <w:rPr>
      <w:i/>
      <w:iCs/>
      <w:color w:val="404040" w:themeColor="text1" w:themeTint="BF"/>
    </w:rPr>
  </w:style>
  <w:style w:type="paragraph" w:styleId="Paragraphedeliste">
    <w:name w:val="List Paragraph"/>
    <w:basedOn w:val="Normal"/>
    <w:uiPriority w:val="34"/>
    <w:qFormat/>
    <w:rsid w:val="00020F33"/>
    <w:pPr>
      <w:ind w:left="720"/>
      <w:contextualSpacing/>
    </w:pPr>
  </w:style>
  <w:style w:type="character" w:styleId="Accentuationintense">
    <w:name w:val="Intense Emphasis"/>
    <w:basedOn w:val="Policepardfaut"/>
    <w:uiPriority w:val="21"/>
    <w:qFormat/>
    <w:rsid w:val="00020F33"/>
    <w:rPr>
      <w:i/>
      <w:iCs/>
      <w:color w:val="0F4761" w:themeColor="accent1" w:themeShade="BF"/>
    </w:rPr>
  </w:style>
  <w:style w:type="paragraph" w:styleId="Citationintense">
    <w:name w:val="Intense Quote"/>
    <w:basedOn w:val="Normal"/>
    <w:next w:val="Normal"/>
    <w:link w:val="CitationintenseCar"/>
    <w:uiPriority w:val="30"/>
    <w:qFormat/>
    <w:rsid w:val="00020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0F33"/>
    <w:rPr>
      <w:i/>
      <w:iCs/>
      <w:color w:val="0F4761" w:themeColor="accent1" w:themeShade="BF"/>
    </w:rPr>
  </w:style>
  <w:style w:type="character" w:styleId="Rfrenceintense">
    <w:name w:val="Intense Reference"/>
    <w:basedOn w:val="Policepardfaut"/>
    <w:uiPriority w:val="32"/>
    <w:qFormat/>
    <w:rsid w:val="00020F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78737">
      <w:bodyDiv w:val="1"/>
      <w:marLeft w:val="0"/>
      <w:marRight w:val="0"/>
      <w:marTop w:val="0"/>
      <w:marBottom w:val="0"/>
      <w:divBdr>
        <w:top w:val="none" w:sz="0" w:space="0" w:color="auto"/>
        <w:left w:val="none" w:sz="0" w:space="0" w:color="auto"/>
        <w:bottom w:val="none" w:sz="0" w:space="0" w:color="auto"/>
        <w:right w:val="none" w:sz="0" w:space="0" w:color="auto"/>
      </w:divBdr>
      <w:divsChild>
        <w:div w:id="1389959475">
          <w:marLeft w:val="0"/>
          <w:marRight w:val="0"/>
          <w:marTop w:val="0"/>
          <w:marBottom w:val="0"/>
          <w:divBdr>
            <w:top w:val="none" w:sz="0" w:space="0" w:color="auto"/>
            <w:left w:val="none" w:sz="0" w:space="0" w:color="auto"/>
            <w:bottom w:val="none" w:sz="0" w:space="0" w:color="auto"/>
            <w:right w:val="none" w:sz="0" w:space="0" w:color="auto"/>
          </w:divBdr>
          <w:divsChild>
            <w:div w:id="1102646685">
              <w:marLeft w:val="180"/>
              <w:marRight w:val="0"/>
              <w:marTop w:val="75"/>
              <w:marBottom w:val="0"/>
              <w:divBdr>
                <w:top w:val="none" w:sz="0" w:space="0" w:color="auto"/>
                <w:left w:val="none" w:sz="0" w:space="0" w:color="auto"/>
                <w:bottom w:val="none" w:sz="0" w:space="0" w:color="auto"/>
                <w:right w:val="none" w:sz="0" w:space="0" w:color="auto"/>
              </w:divBdr>
              <w:divsChild>
                <w:div w:id="1000307621">
                  <w:marLeft w:val="0"/>
                  <w:marRight w:val="0"/>
                  <w:marTop w:val="0"/>
                  <w:marBottom w:val="0"/>
                  <w:divBdr>
                    <w:top w:val="none" w:sz="0" w:space="0" w:color="auto"/>
                    <w:left w:val="none" w:sz="0" w:space="0" w:color="auto"/>
                    <w:bottom w:val="none" w:sz="0" w:space="0" w:color="auto"/>
                    <w:right w:val="none" w:sz="0" w:space="0" w:color="auto"/>
                  </w:divBdr>
                </w:div>
                <w:div w:id="2814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3631">
          <w:marLeft w:val="150"/>
          <w:marRight w:val="150"/>
          <w:marTop w:val="0"/>
          <w:marBottom w:val="0"/>
          <w:divBdr>
            <w:top w:val="none" w:sz="0" w:space="0" w:color="auto"/>
            <w:left w:val="none" w:sz="0" w:space="0" w:color="auto"/>
            <w:bottom w:val="none" w:sz="0" w:space="0" w:color="auto"/>
            <w:right w:val="none" w:sz="0" w:space="0" w:color="auto"/>
          </w:divBdr>
        </w:div>
      </w:divsChild>
    </w:div>
    <w:div w:id="1601794619">
      <w:bodyDiv w:val="1"/>
      <w:marLeft w:val="0"/>
      <w:marRight w:val="0"/>
      <w:marTop w:val="0"/>
      <w:marBottom w:val="0"/>
      <w:divBdr>
        <w:top w:val="none" w:sz="0" w:space="0" w:color="auto"/>
        <w:left w:val="none" w:sz="0" w:space="0" w:color="auto"/>
        <w:bottom w:val="none" w:sz="0" w:space="0" w:color="auto"/>
        <w:right w:val="none" w:sz="0" w:space="0" w:color="auto"/>
      </w:divBdr>
      <w:divsChild>
        <w:div w:id="1115175349">
          <w:marLeft w:val="0"/>
          <w:marRight w:val="0"/>
          <w:marTop w:val="0"/>
          <w:marBottom w:val="0"/>
          <w:divBdr>
            <w:top w:val="none" w:sz="0" w:space="0" w:color="auto"/>
            <w:left w:val="none" w:sz="0" w:space="0" w:color="auto"/>
            <w:bottom w:val="none" w:sz="0" w:space="0" w:color="auto"/>
            <w:right w:val="none" w:sz="0" w:space="0" w:color="auto"/>
          </w:divBdr>
          <w:divsChild>
            <w:div w:id="940067627">
              <w:marLeft w:val="180"/>
              <w:marRight w:val="0"/>
              <w:marTop w:val="75"/>
              <w:marBottom w:val="0"/>
              <w:divBdr>
                <w:top w:val="none" w:sz="0" w:space="0" w:color="auto"/>
                <w:left w:val="none" w:sz="0" w:space="0" w:color="auto"/>
                <w:bottom w:val="none" w:sz="0" w:space="0" w:color="auto"/>
                <w:right w:val="none" w:sz="0" w:space="0" w:color="auto"/>
              </w:divBdr>
              <w:divsChild>
                <w:div w:id="961031626">
                  <w:marLeft w:val="0"/>
                  <w:marRight w:val="0"/>
                  <w:marTop w:val="0"/>
                  <w:marBottom w:val="0"/>
                  <w:divBdr>
                    <w:top w:val="none" w:sz="0" w:space="0" w:color="auto"/>
                    <w:left w:val="none" w:sz="0" w:space="0" w:color="auto"/>
                    <w:bottom w:val="none" w:sz="0" w:space="0" w:color="auto"/>
                    <w:right w:val="none" w:sz="0" w:space="0" w:color="auto"/>
                  </w:divBdr>
                </w:div>
                <w:div w:id="7657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1791">
          <w:marLeft w:val="150"/>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3275</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COUESNON</dc:creator>
  <cp:keywords/>
  <dc:description/>
  <cp:lastModifiedBy>Nicole COUESNON</cp:lastModifiedBy>
  <cp:revision>1</cp:revision>
  <dcterms:created xsi:type="dcterms:W3CDTF">2025-06-23T08:04:00Z</dcterms:created>
  <dcterms:modified xsi:type="dcterms:W3CDTF">2025-06-23T08:05:00Z</dcterms:modified>
</cp:coreProperties>
</file>