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88" w:rsidRDefault="001F2B88" w:rsidP="001F2B88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Cette étude a été réalisée dans le cadre du </w:t>
      </w:r>
      <w:r w:rsidRPr="0040052F">
        <w:rPr>
          <w:rFonts w:ascii="Arial" w:hAnsi="Arial" w:cs="Arial"/>
          <w:b/>
          <w:bCs/>
          <w:iCs/>
          <w:sz w:val="22"/>
          <w:szCs w:val="22"/>
        </w:rPr>
        <w:t xml:space="preserve">réseau POLA </w:t>
      </w:r>
      <w:r w:rsidRPr="006913F6">
        <w:rPr>
          <w:rFonts w:ascii="Arial" w:hAnsi="Arial" w:cs="Arial"/>
          <w:bCs/>
          <w:iCs/>
          <w:sz w:val="22"/>
          <w:szCs w:val="22"/>
        </w:rPr>
        <w:t xml:space="preserve">(dédié à la </w:t>
      </w:r>
      <w:r w:rsidRPr="006913F6">
        <w:rPr>
          <w:rFonts w:ascii="Arial" w:hAnsi="Arial" w:cs="Arial"/>
          <w:bCs/>
          <w:i/>
          <w:sz w:val="22"/>
          <w:szCs w:val="22"/>
        </w:rPr>
        <w:t xml:space="preserve">Prise en charge des tumeurs </w:t>
      </w:r>
      <w:proofErr w:type="spellStart"/>
      <w:r w:rsidRPr="006913F6">
        <w:rPr>
          <w:rFonts w:ascii="Arial" w:hAnsi="Arial" w:cs="Arial"/>
          <w:bCs/>
          <w:i/>
          <w:sz w:val="22"/>
          <w:szCs w:val="22"/>
        </w:rPr>
        <w:t>Oligodendrogliales</w:t>
      </w:r>
      <w:proofErr w:type="spellEnd"/>
      <w:r w:rsidRPr="006913F6">
        <w:rPr>
          <w:rFonts w:ascii="Arial" w:hAnsi="Arial" w:cs="Arial"/>
          <w:bCs/>
          <w:i/>
          <w:sz w:val="22"/>
          <w:szCs w:val="22"/>
        </w:rPr>
        <w:t xml:space="preserve"> de haut grade</w:t>
      </w:r>
      <w:r w:rsidRPr="006913F6">
        <w:rPr>
          <w:rFonts w:ascii="Arial" w:hAnsi="Arial" w:cs="Arial"/>
          <w:bCs/>
          <w:iCs/>
          <w:sz w:val="22"/>
          <w:szCs w:val="22"/>
        </w:rPr>
        <w:t>)</w:t>
      </w:r>
      <w:r w:rsidRPr="006913F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auquel appartient </w:t>
      </w:r>
      <w:r w:rsidRPr="006913F6">
        <w:rPr>
          <w:rFonts w:ascii="Arial" w:hAnsi="Arial" w:cs="Arial"/>
          <w:b/>
          <w:noProof/>
          <w:sz w:val="22"/>
          <w:szCs w:val="22"/>
          <w:u w:val="single"/>
        </w:rPr>
        <w:t>notre consortium en Neuro-Oncologie du CHU Timone</w:t>
      </w:r>
      <w:r>
        <w:rPr>
          <w:rFonts w:ascii="Arial" w:hAnsi="Arial" w:cs="Arial"/>
          <w:noProof/>
          <w:sz w:val="22"/>
          <w:szCs w:val="22"/>
        </w:rPr>
        <w:t>. La cohorte POLA constituée de plus de 1400 patients atteints de gliomes de haut grade est une ressource précieuse pour mener à bien des études réstrospectives sur ces tumeurs.</w:t>
      </w:r>
    </w:p>
    <w:p w:rsidR="001F2B88" w:rsidRDefault="001F2B88" w:rsidP="001F2B88">
      <w:pPr>
        <w:jc w:val="both"/>
        <w:rPr>
          <w:rFonts w:ascii="Arial" w:hAnsi="Arial" w:cs="Arial"/>
          <w:sz w:val="22"/>
        </w:rPr>
      </w:pPr>
      <w:r w:rsidRPr="00422FE9">
        <w:rPr>
          <w:rFonts w:ascii="Arial" w:hAnsi="Arial" w:cs="Arial"/>
          <w:sz w:val="22"/>
        </w:rPr>
        <w:t>Dans cette étude</w:t>
      </w:r>
      <w:r>
        <w:rPr>
          <w:rFonts w:ascii="Arial" w:hAnsi="Arial" w:cs="Arial"/>
          <w:sz w:val="22"/>
        </w:rPr>
        <w:t xml:space="preserve"> nous avons analysé les données de </w:t>
      </w:r>
      <w:r w:rsidRPr="00B24883">
        <w:rPr>
          <w:rFonts w:ascii="Arial" w:hAnsi="Arial" w:cs="Arial"/>
          <w:sz w:val="22"/>
        </w:rPr>
        <w:t xml:space="preserve">494 patients </w:t>
      </w:r>
      <w:r>
        <w:rPr>
          <w:rFonts w:ascii="Arial" w:hAnsi="Arial" w:cs="Arial"/>
          <w:sz w:val="22"/>
        </w:rPr>
        <w:t xml:space="preserve">présentant un </w:t>
      </w:r>
      <w:proofErr w:type="spellStart"/>
      <w:r w:rsidRPr="00B24883">
        <w:rPr>
          <w:rFonts w:ascii="Arial" w:hAnsi="Arial" w:cs="Arial"/>
          <w:sz w:val="22"/>
        </w:rPr>
        <w:t>oligodendrogliome</w:t>
      </w:r>
      <w:proofErr w:type="spellEnd"/>
      <w:r w:rsidRPr="00B24883">
        <w:rPr>
          <w:rFonts w:ascii="Arial" w:hAnsi="Arial" w:cs="Arial"/>
          <w:sz w:val="22"/>
        </w:rPr>
        <w:t xml:space="preserve"> de grade 3 avec mutation </w:t>
      </w:r>
      <w:r>
        <w:rPr>
          <w:rFonts w:ascii="Arial" w:hAnsi="Arial" w:cs="Arial"/>
          <w:sz w:val="22"/>
        </w:rPr>
        <w:t xml:space="preserve">du gène </w:t>
      </w:r>
      <w:r w:rsidRPr="00422FE9">
        <w:rPr>
          <w:rFonts w:ascii="Arial" w:hAnsi="Arial" w:cs="Arial"/>
          <w:i/>
          <w:iCs/>
          <w:sz w:val="22"/>
        </w:rPr>
        <w:t>IDH</w:t>
      </w:r>
      <w:r w:rsidRPr="00B24883">
        <w:rPr>
          <w:rFonts w:ascii="Arial" w:hAnsi="Arial" w:cs="Arial"/>
          <w:sz w:val="22"/>
        </w:rPr>
        <w:t xml:space="preserve"> et </w:t>
      </w:r>
      <w:proofErr w:type="spellStart"/>
      <w:r w:rsidRPr="00B24883">
        <w:rPr>
          <w:rFonts w:ascii="Arial" w:hAnsi="Arial" w:cs="Arial"/>
          <w:sz w:val="22"/>
        </w:rPr>
        <w:t>co</w:t>
      </w:r>
      <w:proofErr w:type="spellEnd"/>
      <w:r w:rsidRPr="00B24883">
        <w:rPr>
          <w:rFonts w:ascii="Arial" w:hAnsi="Arial" w:cs="Arial"/>
          <w:sz w:val="22"/>
        </w:rPr>
        <w:t xml:space="preserve">-délétion des </w:t>
      </w:r>
      <w:r>
        <w:rPr>
          <w:rFonts w:ascii="Arial" w:hAnsi="Arial" w:cs="Arial"/>
          <w:sz w:val="22"/>
        </w:rPr>
        <w:t>chromosomes</w:t>
      </w:r>
      <w:r w:rsidRPr="00B24883">
        <w:rPr>
          <w:rFonts w:ascii="Arial" w:hAnsi="Arial" w:cs="Arial"/>
          <w:sz w:val="22"/>
        </w:rPr>
        <w:t xml:space="preserve"> 1p/19q</w:t>
      </w:r>
      <w:r>
        <w:rPr>
          <w:rFonts w:ascii="Arial" w:hAnsi="Arial" w:cs="Arial"/>
          <w:sz w:val="22"/>
        </w:rPr>
        <w:t xml:space="preserve">, </w:t>
      </w:r>
      <w:r w:rsidRPr="00B24883">
        <w:rPr>
          <w:rFonts w:ascii="Arial" w:hAnsi="Arial" w:cs="Arial"/>
          <w:sz w:val="22"/>
        </w:rPr>
        <w:t>sur une durée médiane de 8 ans</w:t>
      </w:r>
      <w:r>
        <w:rPr>
          <w:rFonts w:ascii="Arial" w:hAnsi="Arial" w:cs="Arial"/>
          <w:sz w:val="22"/>
        </w:rPr>
        <w:t xml:space="preserve"> afin de </w:t>
      </w:r>
      <w:proofErr w:type="spellStart"/>
      <w:r>
        <w:rPr>
          <w:rFonts w:ascii="Arial" w:hAnsi="Arial" w:cs="Arial"/>
          <w:sz w:val="22"/>
        </w:rPr>
        <w:t>re</w:t>
      </w:r>
      <w:proofErr w:type="spellEnd"/>
      <w:r>
        <w:rPr>
          <w:rFonts w:ascii="Arial" w:hAnsi="Arial" w:cs="Arial"/>
          <w:sz w:val="22"/>
        </w:rPr>
        <w:t xml:space="preserve">-tester la valeur pronostique de 3 groupes </w:t>
      </w:r>
      <w:proofErr w:type="spellStart"/>
      <w:r>
        <w:rPr>
          <w:rFonts w:ascii="Arial" w:hAnsi="Arial" w:cs="Arial"/>
          <w:sz w:val="22"/>
        </w:rPr>
        <w:t>histopathologiques</w:t>
      </w:r>
      <w:proofErr w:type="spellEnd"/>
      <w:r>
        <w:rPr>
          <w:rFonts w:ascii="Arial" w:hAnsi="Arial" w:cs="Arial"/>
          <w:sz w:val="22"/>
        </w:rPr>
        <w:t xml:space="preserve"> identifiés déjà depuis plusieurs années (</w:t>
      </w:r>
      <w:proofErr w:type="spellStart"/>
      <w:r>
        <w:rPr>
          <w:rFonts w:ascii="Arial" w:hAnsi="Arial" w:cs="Arial"/>
          <w:sz w:val="22"/>
        </w:rPr>
        <w:t>Figarella-Branger</w:t>
      </w:r>
      <w:proofErr w:type="spellEnd"/>
      <w:r>
        <w:rPr>
          <w:rFonts w:ascii="Arial" w:hAnsi="Arial" w:cs="Arial"/>
          <w:sz w:val="22"/>
        </w:rPr>
        <w:t xml:space="preserve"> et al., 2008 et </w:t>
      </w:r>
      <w:proofErr w:type="spellStart"/>
      <w:r>
        <w:rPr>
          <w:rFonts w:ascii="Arial" w:hAnsi="Arial" w:cs="Arial"/>
          <w:sz w:val="22"/>
        </w:rPr>
        <w:t>Figarella-Branger</w:t>
      </w:r>
      <w:proofErr w:type="spellEnd"/>
      <w:r>
        <w:rPr>
          <w:rFonts w:ascii="Arial" w:hAnsi="Arial" w:cs="Arial"/>
          <w:sz w:val="22"/>
        </w:rPr>
        <w:t xml:space="preserve"> et al., 2014) : un groupe (groupe 1)  avec une forte activité de division des cellules tumorales, un autre groupe (2) caractérisé par des vaisseaux sanguins anormaux mais pas de zone de nécrose, et un 3</w:t>
      </w:r>
      <w:r w:rsidRPr="00250AAF">
        <w:rPr>
          <w:rFonts w:ascii="Arial" w:hAnsi="Arial" w:cs="Arial"/>
          <w:sz w:val="22"/>
          <w:vertAlign w:val="superscript"/>
        </w:rPr>
        <w:t>ème</w:t>
      </w:r>
      <w:r>
        <w:rPr>
          <w:rFonts w:ascii="Arial" w:hAnsi="Arial" w:cs="Arial"/>
          <w:sz w:val="22"/>
        </w:rPr>
        <w:t xml:space="preserve"> groupe présentant de la nécrose en plus des vaisseaux anormaux. </w:t>
      </w:r>
    </w:p>
    <w:p w:rsidR="001F2B88" w:rsidRDefault="001F2B88" w:rsidP="001F2B8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Grâce à ces données de suivi sur une longue période, nous avons pu confirmer que </w:t>
      </w:r>
      <w:r w:rsidRPr="00083B23">
        <w:rPr>
          <w:rFonts w:ascii="Arial" w:hAnsi="Arial" w:cs="Arial"/>
          <w:b/>
          <w:bCs/>
          <w:sz w:val="22"/>
        </w:rPr>
        <w:t xml:space="preserve">les groupes </w:t>
      </w:r>
      <w:proofErr w:type="spellStart"/>
      <w:r w:rsidRPr="00083B23">
        <w:rPr>
          <w:rFonts w:ascii="Arial" w:hAnsi="Arial" w:cs="Arial"/>
          <w:b/>
          <w:bCs/>
          <w:sz w:val="22"/>
        </w:rPr>
        <w:t>histopathologiques</w:t>
      </w:r>
      <w:proofErr w:type="spellEnd"/>
      <w:r w:rsidRPr="00083B23">
        <w:rPr>
          <w:rFonts w:ascii="Arial" w:hAnsi="Arial" w:cs="Arial"/>
          <w:b/>
          <w:bCs/>
          <w:sz w:val="22"/>
        </w:rPr>
        <w:t xml:space="preserve"> ont une valeur pronostique</w:t>
      </w:r>
      <w:r>
        <w:rPr>
          <w:rFonts w:ascii="Arial" w:hAnsi="Arial" w:cs="Arial"/>
          <w:sz w:val="22"/>
        </w:rPr>
        <w:t xml:space="preserve">. </w:t>
      </w:r>
      <w:r w:rsidRPr="00B24883">
        <w:rPr>
          <w:rFonts w:ascii="Arial" w:hAnsi="Arial" w:cs="Arial"/>
          <w:sz w:val="22"/>
        </w:rPr>
        <w:t>Deux facteurs sont particulièrement associés à un mauvais pronostic :</w:t>
      </w:r>
      <w:r>
        <w:rPr>
          <w:rFonts w:ascii="Arial" w:hAnsi="Arial" w:cs="Arial"/>
          <w:sz w:val="22"/>
        </w:rPr>
        <w:t xml:space="preserve"> l</w:t>
      </w:r>
      <w:r w:rsidRPr="00B24883">
        <w:rPr>
          <w:rFonts w:ascii="Arial" w:hAnsi="Arial" w:cs="Arial"/>
          <w:sz w:val="22"/>
        </w:rPr>
        <w:t xml:space="preserve">a </w:t>
      </w:r>
      <w:r w:rsidRPr="00B24883">
        <w:rPr>
          <w:rFonts w:ascii="Arial" w:hAnsi="Arial" w:cs="Arial"/>
          <w:b/>
          <w:bCs/>
          <w:sz w:val="22"/>
        </w:rPr>
        <w:t>nécrose</w:t>
      </w:r>
      <w:r w:rsidRPr="00B24883">
        <w:rPr>
          <w:rFonts w:ascii="Arial" w:hAnsi="Arial" w:cs="Arial"/>
          <w:sz w:val="22"/>
        </w:rPr>
        <w:t xml:space="preserve"> dans la tumeur</w:t>
      </w:r>
      <w:r>
        <w:rPr>
          <w:rFonts w:ascii="Arial" w:hAnsi="Arial" w:cs="Arial"/>
          <w:sz w:val="22"/>
        </w:rPr>
        <w:t xml:space="preserve">, et la </w:t>
      </w:r>
      <w:r w:rsidRPr="00083B23">
        <w:rPr>
          <w:rFonts w:ascii="Arial" w:hAnsi="Arial" w:cs="Arial"/>
          <w:b/>
          <w:bCs/>
          <w:sz w:val="22"/>
        </w:rPr>
        <w:t xml:space="preserve">délétion du gène </w:t>
      </w:r>
      <w:r w:rsidRPr="007E1248">
        <w:rPr>
          <w:rFonts w:ascii="Arial" w:hAnsi="Arial" w:cs="Arial"/>
          <w:b/>
          <w:bCs/>
          <w:i/>
          <w:iCs/>
          <w:sz w:val="22"/>
        </w:rPr>
        <w:t>CDKN2A</w:t>
      </w:r>
      <w:r>
        <w:rPr>
          <w:rFonts w:ascii="Arial" w:hAnsi="Arial" w:cs="Arial"/>
          <w:sz w:val="22"/>
        </w:rPr>
        <w:t>. De plus, nous avons pu encore affiner la valeur pronostique de ces 3 groupes en montrant que pour</w:t>
      </w:r>
      <w:r w:rsidRPr="00B24883">
        <w:rPr>
          <w:rFonts w:ascii="Arial" w:hAnsi="Arial" w:cs="Arial"/>
          <w:sz w:val="22"/>
        </w:rPr>
        <w:t xml:space="preserve"> les patients du groupe 1, l’absence de </w:t>
      </w:r>
      <w:r>
        <w:rPr>
          <w:rFonts w:ascii="Arial" w:hAnsi="Arial" w:cs="Arial"/>
          <w:sz w:val="22"/>
        </w:rPr>
        <w:t xml:space="preserve">prise de contraste sur l’imagerie </w:t>
      </w:r>
      <w:r w:rsidRPr="00B24883">
        <w:rPr>
          <w:rFonts w:ascii="Arial" w:hAnsi="Arial" w:cs="Arial"/>
          <w:sz w:val="22"/>
        </w:rPr>
        <w:t xml:space="preserve">est un </w:t>
      </w:r>
      <w:r>
        <w:rPr>
          <w:rFonts w:ascii="Arial" w:hAnsi="Arial" w:cs="Arial"/>
          <w:sz w:val="22"/>
        </w:rPr>
        <w:t xml:space="preserve">marqueur </w:t>
      </w:r>
      <w:r w:rsidRPr="00B24883">
        <w:rPr>
          <w:rFonts w:ascii="Arial" w:hAnsi="Arial" w:cs="Arial"/>
          <w:sz w:val="22"/>
        </w:rPr>
        <w:t>associé à un meilleur</w:t>
      </w:r>
      <w:r>
        <w:rPr>
          <w:rFonts w:ascii="Arial" w:hAnsi="Arial" w:cs="Arial"/>
          <w:sz w:val="22"/>
        </w:rPr>
        <w:t xml:space="preserve"> pronostic</w:t>
      </w:r>
      <w:r w:rsidRPr="00B24883">
        <w:rPr>
          <w:rFonts w:ascii="Arial" w:hAnsi="Arial" w:cs="Arial"/>
          <w:sz w:val="22"/>
        </w:rPr>
        <w:t>.</w:t>
      </w:r>
    </w:p>
    <w:p w:rsidR="001F2B88" w:rsidRPr="008E50E9" w:rsidRDefault="001F2B88" w:rsidP="001F2B88">
      <w:pPr>
        <w:jc w:val="both"/>
        <w:rPr>
          <w:rFonts w:ascii="Arial" w:hAnsi="Arial" w:cs="Arial"/>
          <w:b/>
          <w:bCs/>
          <w:sz w:val="22"/>
        </w:rPr>
      </w:pPr>
      <w:r w:rsidRPr="008E50E9">
        <w:rPr>
          <w:rFonts w:ascii="Arial" w:hAnsi="Arial" w:cs="Arial"/>
          <w:b/>
          <w:bCs/>
          <w:sz w:val="22"/>
        </w:rPr>
        <w:t>Cette étude aide à mieux comprendre les sous-types d’</w:t>
      </w:r>
      <w:proofErr w:type="spellStart"/>
      <w:r w:rsidRPr="008E50E9">
        <w:rPr>
          <w:rFonts w:ascii="Arial" w:hAnsi="Arial" w:cs="Arial"/>
          <w:b/>
          <w:bCs/>
          <w:sz w:val="22"/>
        </w:rPr>
        <w:t>oligodendrogliomes</w:t>
      </w:r>
      <w:proofErr w:type="spellEnd"/>
      <w:r w:rsidRPr="008E50E9">
        <w:rPr>
          <w:rFonts w:ascii="Arial" w:hAnsi="Arial" w:cs="Arial"/>
          <w:b/>
          <w:bCs/>
          <w:sz w:val="22"/>
        </w:rPr>
        <w:t xml:space="preserve"> de grade 3 avec mutation du gène </w:t>
      </w:r>
      <w:r w:rsidRPr="008E50E9">
        <w:rPr>
          <w:rFonts w:ascii="Arial" w:hAnsi="Arial" w:cs="Arial"/>
          <w:b/>
          <w:bCs/>
          <w:i/>
          <w:iCs/>
          <w:sz w:val="22"/>
        </w:rPr>
        <w:t>IDH</w:t>
      </w:r>
      <w:r w:rsidRPr="008E50E9">
        <w:rPr>
          <w:rFonts w:ascii="Arial" w:hAnsi="Arial" w:cs="Arial"/>
          <w:b/>
          <w:bCs/>
          <w:sz w:val="22"/>
        </w:rPr>
        <w:t xml:space="preserve"> et </w:t>
      </w:r>
      <w:proofErr w:type="spellStart"/>
      <w:r w:rsidRPr="008E50E9">
        <w:rPr>
          <w:rFonts w:ascii="Arial" w:hAnsi="Arial" w:cs="Arial"/>
          <w:b/>
          <w:bCs/>
          <w:sz w:val="22"/>
        </w:rPr>
        <w:t>co</w:t>
      </w:r>
      <w:proofErr w:type="spellEnd"/>
      <w:r w:rsidRPr="008E50E9">
        <w:rPr>
          <w:rFonts w:ascii="Arial" w:hAnsi="Arial" w:cs="Arial"/>
          <w:b/>
          <w:bCs/>
          <w:sz w:val="22"/>
        </w:rPr>
        <w:t xml:space="preserve">-délétion des chromosomes 1p/19q pour une meilleure prise en charge médicale. </w:t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88"/>
    <w:rsid w:val="001F2B88"/>
    <w:rsid w:val="00687A0D"/>
    <w:rsid w:val="00D5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2</cp:revision>
  <dcterms:created xsi:type="dcterms:W3CDTF">2025-01-17T13:20:00Z</dcterms:created>
  <dcterms:modified xsi:type="dcterms:W3CDTF">2025-01-17T13:20:00Z</dcterms:modified>
</cp:coreProperties>
</file>