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F2" w:rsidRPr="001167F4" w:rsidRDefault="004F6FF2" w:rsidP="004F6FF2">
      <w:pPr>
        <w:pStyle w:val="Sansinterligne"/>
        <w:spacing w:line="276" w:lineRule="auto"/>
        <w:jc w:val="both"/>
        <w:rPr>
          <w:rFonts w:ascii="Arial" w:hAnsi="Arial" w:cs="Arial"/>
          <w:sz w:val="22"/>
          <w:szCs w:val="22"/>
        </w:rPr>
      </w:pPr>
      <w:r w:rsidRPr="001167F4">
        <w:rPr>
          <w:rFonts w:ascii="Arial" w:hAnsi="Arial" w:cs="Arial"/>
          <w:sz w:val="22"/>
          <w:szCs w:val="22"/>
        </w:rPr>
        <w:t xml:space="preserve">Dans cet </w:t>
      </w:r>
      <w:r w:rsidRPr="001167F4">
        <w:rPr>
          <w:rFonts w:ascii="Arial" w:hAnsi="Arial" w:cs="Arial"/>
          <w:b/>
          <w:sz w:val="22"/>
          <w:szCs w:val="22"/>
        </w:rPr>
        <w:t>article de</w:t>
      </w:r>
      <w:r w:rsidRPr="001167F4">
        <w:rPr>
          <w:rFonts w:ascii="Arial" w:hAnsi="Arial" w:cs="Arial"/>
          <w:sz w:val="22"/>
          <w:szCs w:val="22"/>
        </w:rPr>
        <w:t xml:space="preserve"> </w:t>
      </w:r>
      <w:r w:rsidRPr="001167F4">
        <w:rPr>
          <w:rFonts w:ascii="Arial" w:hAnsi="Arial" w:cs="Arial"/>
          <w:b/>
          <w:sz w:val="22"/>
          <w:szCs w:val="22"/>
        </w:rPr>
        <w:t xml:space="preserve">recherche </w:t>
      </w:r>
      <w:proofErr w:type="spellStart"/>
      <w:r w:rsidRPr="001167F4">
        <w:rPr>
          <w:rFonts w:ascii="Arial" w:hAnsi="Arial" w:cs="Arial"/>
          <w:b/>
          <w:sz w:val="22"/>
          <w:szCs w:val="22"/>
        </w:rPr>
        <w:t>translationnelle</w:t>
      </w:r>
      <w:proofErr w:type="spellEnd"/>
      <w:r w:rsidRPr="001167F4">
        <w:rPr>
          <w:rFonts w:ascii="Arial" w:hAnsi="Arial" w:cs="Arial"/>
          <w:sz w:val="22"/>
          <w:szCs w:val="22"/>
        </w:rPr>
        <w:t xml:space="preserve">, </w:t>
      </w:r>
      <w:r w:rsidRPr="009E5F5B">
        <w:rPr>
          <w:rFonts w:ascii="Arial" w:hAnsi="Arial" w:cs="Arial"/>
          <w:iCs/>
          <w:sz w:val="22"/>
          <w:szCs w:val="22"/>
        </w:rPr>
        <w:t xml:space="preserve">réalisé en collaboration avec des membres du réseau RENOCLIP-LOC </w:t>
      </w:r>
      <w:r w:rsidRPr="009E5F5B">
        <w:rPr>
          <w:rFonts w:ascii="Arial" w:hAnsi="Arial" w:cs="Arial"/>
          <w:sz w:val="22"/>
          <w:szCs w:val="22"/>
        </w:rPr>
        <w:t>(</w:t>
      </w:r>
      <w:r w:rsidRPr="009E5F5B">
        <w:rPr>
          <w:rFonts w:ascii="Arial" w:hAnsi="Arial" w:cs="Arial"/>
          <w:bCs/>
          <w:i/>
          <w:iCs/>
          <w:sz w:val="22"/>
          <w:szCs w:val="22"/>
        </w:rPr>
        <w:t xml:space="preserve">Réseau national de Neuro-Oncologie </w:t>
      </w:r>
      <w:proofErr w:type="spellStart"/>
      <w:r w:rsidRPr="009E5F5B">
        <w:rPr>
          <w:rFonts w:ascii="Arial" w:hAnsi="Arial" w:cs="Arial"/>
          <w:bCs/>
          <w:i/>
          <w:iCs/>
          <w:sz w:val="22"/>
          <w:szCs w:val="22"/>
        </w:rPr>
        <w:t>CLInico</w:t>
      </w:r>
      <w:proofErr w:type="spellEnd"/>
      <w:r w:rsidRPr="009E5F5B">
        <w:rPr>
          <w:rFonts w:ascii="Arial" w:hAnsi="Arial" w:cs="Arial"/>
          <w:bCs/>
          <w:i/>
          <w:iCs/>
          <w:sz w:val="22"/>
          <w:szCs w:val="22"/>
        </w:rPr>
        <w:t>-Pathologique pour les tumeurs rares du système nerveux central</w:t>
      </w:r>
      <w:r w:rsidRPr="009E5F5B">
        <w:rPr>
          <w:rFonts w:ascii="Arial" w:hAnsi="Arial" w:cs="Arial"/>
          <w:bCs/>
          <w:iCs/>
          <w:sz w:val="22"/>
          <w:szCs w:val="22"/>
        </w:rPr>
        <w:t>)</w:t>
      </w:r>
      <w:r w:rsidRPr="009E5F5B">
        <w:rPr>
          <w:rFonts w:ascii="Arial" w:hAnsi="Arial" w:cs="Arial"/>
          <w:sz w:val="22"/>
          <w:szCs w:val="22"/>
        </w:rPr>
        <w:t xml:space="preserve">, </w:t>
      </w:r>
      <w:r w:rsidRPr="009E5F5B">
        <w:rPr>
          <w:rFonts w:ascii="Arial" w:hAnsi="Arial" w:cs="Arial"/>
          <w:b/>
          <w:iCs/>
          <w:sz w:val="22"/>
          <w:szCs w:val="22"/>
          <w:u w:val="single"/>
        </w:rPr>
        <w:t xml:space="preserve">notre équipe de </w:t>
      </w:r>
      <w:proofErr w:type="spellStart"/>
      <w:r w:rsidRPr="009E5F5B">
        <w:rPr>
          <w:rFonts w:ascii="Arial" w:hAnsi="Arial" w:cs="Arial"/>
          <w:b/>
          <w:iCs/>
          <w:sz w:val="22"/>
          <w:szCs w:val="22"/>
          <w:u w:val="single"/>
        </w:rPr>
        <w:t>biopathologie</w:t>
      </w:r>
      <w:proofErr w:type="spellEnd"/>
      <w:r w:rsidRPr="009E5F5B">
        <w:rPr>
          <w:rFonts w:ascii="Arial" w:hAnsi="Arial" w:cs="Arial"/>
          <w:iCs/>
          <w:sz w:val="22"/>
          <w:szCs w:val="22"/>
        </w:rPr>
        <w:t xml:space="preserve"> </w:t>
      </w:r>
      <w:r>
        <w:rPr>
          <w:rFonts w:ascii="Arial" w:hAnsi="Arial" w:cs="Arial"/>
          <w:iCs/>
          <w:sz w:val="22"/>
          <w:szCs w:val="22"/>
        </w:rPr>
        <w:t xml:space="preserve">a </w:t>
      </w:r>
      <w:r w:rsidRPr="001167F4">
        <w:rPr>
          <w:rFonts w:ascii="Arial" w:hAnsi="Arial" w:cs="Arial"/>
          <w:sz w:val="22"/>
          <w:szCs w:val="22"/>
        </w:rPr>
        <w:t xml:space="preserve">analysé une série française multicentrique de </w:t>
      </w:r>
      <w:r w:rsidRPr="001167F4">
        <w:rPr>
          <w:rFonts w:ascii="Arial" w:hAnsi="Arial" w:cs="Arial"/>
          <w:b/>
          <w:sz w:val="22"/>
          <w:szCs w:val="22"/>
        </w:rPr>
        <w:t>46 tumeurs</w:t>
      </w:r>
      <w:r w:rsidRPr="001167F4">
        <w:rPr>
          <w:rFonts w:ascii="Arial" w:hAnsi="Arial" w:cs="Arial"/>
          <w:sz w:val="22"/>
          <w:szCs w:val="22"/>
        </w:rPr>
        <w:t xml:space="preserve"> présentant à l’histologie les critères pathologiques essentiels des </w:t>
      </w:r>
      <w:r w:rsidRPr="009E5F5B">
        <w:rPr>
          <w:rFonts w:ascii="Arial" w:hAnsi="Arial" w:cs="Arial"/>
          <w:b/>
          <w:sz w:val="22"/>
          <w:szCs w:val="22"/>
        </w:rPr>
        <w:t xml:space="preserve">tumeurs </w:t>
      </w:r>
      <w:proofErr w:type="spellStart"/>
      <w:r w:rsidRPr="009E5F5B">
        <w:rPr>
          <w:rFonts w:ascii="Arial" w:hAnsi="Arial" w:cs="Arial"/>
          <w:b/>
          <w:sz w:val="22"/>
          <w:szCs w:val="22"/>
        </w:rPr>
        <w:t>glioneuronales</w:t>
      </w:r>
      <w:proofErr w:type="spellEnd"/>
      <w:r w:rsidRPr="009E5F5B">
        <w:rPr>
          <w:rFonts w:ascii="Arial" w:hAnsi="Arial" w:cs="Arial"/>
          <w:b/>
          <w:sz w:val="22"/>
          <w:szCs w:val="22"/>
        </w:rPr>
        <w:t xml:space="preserve"> à rosettes</w:t>
      </w:r>
      <w:r w:rsidRPr="001167F4">
        <w:rPr>
          <w:rFonts w:ascii="Arial" w:hAnsi="Arial" w:cs="Arial"/>
          <w:sz w:val="22"/>
          <w:szCs w:val="22"/>
        </w:rPr>
        <w:t xml:space="preserve"> (RGNT) qui sont des tumeurs rares du système nerveux central, de grade 1, et qui touchent principalement des patients jeunes, entre 10 et 40 ans. Dans la classification de l’OMS 2021, un profil de méthylation de l’ADN de RGNT est aussi accepté pour affirmer le diagnostic de ces tumeurs. En revanche, la présence de mutation dans le gène </w:t>
      </w:r>
      <w:r w:rsidRPr="001167F4">
        <w:rPr>
          <w:rFonts w:ascii="Arial" w:hAnsi="Arial" w:cs="Arial"/>
          <w:i/>
          <w:sz w:val="22"/>
          <w:szCs w:val="22"/>
        </w:rPr>
        <w:t>FGFR1</w:t>
      </w:r>
      <w:r w:rsidRPr="001167F4">
        <w:rPr>
          <w:rFonts w:ascii="Arial" w:hAnsi="Arial" w:cs="Arial"/>
          <w:sz w:val="22"/>
          <w:szCs w:val="22"/>
        </w:rPr>
        <w:t xml:space="preserve"> associée à une mutation du gène </w:t>
      </w:r>
      <w:r w:rsidRPr="001167F4">
        <w:rPr>
          <w:rFonts w:ascii="Arial" w:hAnsi="Arial" w:cs="Arial"/>
          <w:i/>
          <w:sz w:val="22"/>
          <w:szCs w:val="22"/>
        </w:rPr>
        <w:t>PIK3CA</w:t>
      </w:r>
      <w:r w:rsidRPr="001167F4">
        <w:rPr>
          <w:rFonts w:ascii="Arial" w:hAnsi="Arial" w:cs="Arial"/>
          <w:sz w:val="22"/>
          <w:szCs w:val="22"/>
        </w:rPr>
        <w:t xml:space="preserve"> et/ou </w:t>
      </w:r>
      <w:r w:rsidRPr="001167F4">
        <w:rPr>
          <w:rFonts w:ascii="Arial" w:hAnsi="Arial" w:cs="Arial"/>
          <w:i/>
          <w:sz w:val="22"/>
          <w:szCs w:val="22"/>
        </w:rPr>
        <w:t>NF1</w:t>
      </w:r>
      <w:r w:rsidRPr="001167F4">
        <w:rPr>
          <w:rFonts w:ascii="Arial" w:hAnsi="Arial" w:cs="Arial"/>
          <w:sz w:val="22"/>
          <w:szCs w:val="22"/>
        </w:rPr>
        <w:t xml:space="preserve"> est décrite dans la 5</w:t>
      </w:r>
      <w:r w:rsidRPr="001167F4">
        <w:rPr>
          <w:rFonts w:ascii="Arial" w:hAnsi="Arial" w:cs="Arial"/>
          <w:sz w:val="22"/>
          <w:szCs w:val="22"/>
          <w:vertAlign w:val="superscript"/>
        </w:rPr>
        <w:t>ème</w:t>
      </w:r>
      <w:r w:rsidRPr="001167F4">
        <w:rPr>
          <w:rFonts w:ascii="Arial" w:hAnsi="Arial" w:cs="Arial"/>
          <w:sz w:val="22"/>
          <w:szCs w:val="22"/>
        </w:rPr>
        <w:t xml:space="preserve"> édition comme non essentielle.</w:t>
      </w:r>
    </w:p>
    <w:p w:rsidR="004F6FF2" w:rsidRPr="001167F4" w:rsidRDefault="004F6FF2" w:rsidP="004F6FF2">
      <w:pPr>
        <w:pStyle w:val="Sansinterligne"/>
        <w:spacing w:line="276" w:lineRule="auto"/>
        <w:jc w:val="both"/>
        <w:rPr>
          <w:rFonts w:ascii="Arial" w:hAnsi="Arial" w:cs="Arial"/>
          <w:sz w:val="22"/>
          <w:szCs w:val="22"/>
        </w:rPr>
      </w:pPr>
    </w:p>
    <w:p w:rsidR="004F6FF2" w:rsidRPr="001167F4" w:rsidRDefault="004F6FF2" w:rsidP="004F6FF2">
      <w:pPr>
        <w:pStyle w:val="Sansinterligne"/>
        <w:spacing w:line="276" w:lineRule="auto"/>
        <w:jc w:val="both"/>
        <w:rPr>
          <w:rFonts w:ascii="Arial" w:hAnsi="Arial" w:cs="Arial"/>
          <w:sz w:val="22"/>
          <w:szCs w:val="22"/>
        </w:rPr>
      </w:pPr>
      <w:r w:rsidRPr="001167F4">
        <w:rPr>
          <w:rFonts w:ascii="Arial" w:hAnsi="Arial" w:cs="Arial"/>
          <w:sz w:val="22"/>
          <w:szCs w:val="22"/>
        </w:rPr>
        <w:t xml:space="preserve">Dans cette étude nous montrons au contraire </w:t>
      </w:r>
      <w:r w:rsidRPr="001167F4">
        <w:rPr>
          <w:rFonts w:ascii="Arial" w:hAnsi="Arial" w:cs="Arial"/>
          <w:b/>
          <w:sz w:val="22"/>
          <w:szCs w:val="22"/>
        </w:rPr>
        <w:t>tout l’intérêt de la PCR digitale (DDPCR</w:t>
      </w:r>
      <w:r w:rsidRPr="001167F4">
        <w:rPr>
          <w:rFonts w:ascii="Arial" w:hAnsi="Arial" w:cs="Arial"/>
          <w:b/>
          <w:sz w:val="22"/>
          <w:szCs w:val="22"/>
          <w:vertAlign w:val="superscript"/>
        </w:rPr>
        <w:t>TM</w:t>
      </w:r>
      <w:r w:rsidRPr="001167F4">
        <w:rPr>
          <w:rFonts w:ascii="Arial" w:hAnsi="Arial" w:cs="Arial"/>
          <w:b/>
          <w:sz w:val="22"/>
          <w:szCs w:val="22"/>
        </w:rPr>
        <w:t xml:space="preserve">) et de l’analyse ciblée des gènes </w:t>
      </w:r>
      <w:r w:rsidRPr="001167F4">
        <w:rPr>
          <w:rFonts w:ascii="Arial" w:hAnsi="Arial" w:cs="Arial"/>
          <w:b/>
          <w:i/>
          <w:sz w:val="22"/>
          <w:szCs w:val="22"/>
        </w:rPr>
        <w:t>FGFR1</w:t>
      </w:r>
      <w:r w:rsidRPr="001167F4">
        <w:rPr>
          <w:rFonts w:ascii="Arial" w:hAnsi="Arial" w:cs="Arial"/>
          <w:b/>
          <w:sz w:val="22"/>
          <w:szCs w:val="22"/>
        </w:rPr>
        <w:t xml:space="preserve">, </w:t>
      </w:r>
      <w:r w:rsidRPr="001167F4">
        <w:rPr>
          <w:rFonts w:ascii="Arial" w:hAnsi="Arial" w:cs="Arial"/>
          <w:b/>
          <w:i/>
          <w:sz w:val="22"/>
          <w:szCs w:val="22"/>
        </w:rPr>
        <w:t>PIK3CA</w:t>
      </w:r>
      <w:r w:rsidRPr="001167F4">
        <w:rPr>
          <w:rFonts w:ascii="Arial" w:hAnsi="Arial" w:cs="Arial"/>
          <w:b/>
          <w:sz w:val="22"/>
          <w:szCs w:val="22"/>
        </w:rPr>
        <w:t xml:space="preserve"> et </w:t>
      </w:r>
      <w:r w:rsidRPr="001167F4">
        <w:rPr>
          <w:rFonts w:ascii="Arial" w:hAnsi="Arial" w:cs="Arial"/>
          <w:b/>
          <w:i/>
          <w:sz w:val="22"/>
          <w:szCs w:val="22"/>
        </w:rPr>
        <w:t>PIK3R1</w:t>
      </w:r>
      <w:r w:rsidRPr="001167F4">
        <w:rPr>
          <w:rFonts w:ascii="Arial" w:hAnsi="Arial" w:cs="Arial"/>
          <w:sz w:val="22"/>
          <w:szCs w:val="22"/>
        </w:rPr>
        <w:t xml:space="preserve"> sur de tous petits échantillons pour affirmer le diagnostic de RGNT.</w:t>
      </w:r>
    </w:p>
    <w:p w:rsidR="004F6FF2" w:rsidRPr="001167F4" w:rsidRDefault="004F6FF2" w:rsidP="004F6FF2">
      <w:pPr>
        <w:pStyle w:val="Sansinterligne"/>
        <w:spacing w:line="276" w:lineRule="auto"/>
        <w:jc w:val="both"/>
        <w:rPr>
          <w:rFonts w:ascii="Arial" w:hAnsi="Arial" w:cs="Arial"/>
          <w:sz w:val="22"/>
          <w:szCs w:val="22"/>
        </w:rPr>
      </w:pPr>
      <w:r w:rsidRPr="001167F4">
        <w:rPr>
          <w:rFonts w:ascii="Arial" w:hAnsi="Arial" w:cs="Arial"/>
          <w:sz w:val="22"/>
          <w:szCs w:val="22"/>
        </w:rPr>
        <w:t>En effet, par ces analyses en DDPCR</w:t>
      </w:r>
      <w:r w:rsidRPr="001167F4">
        <w:rPr>
          <w:rFonts w:ascii="Arial" w:hAnsi="Arial" w:cs="Arial"/>
          <w:sz w:val="22"/>
          <w:szCs w:val="22"/>
          <w:vertAlign w:val="superscript"/>
        </w:rPr>
        <w:t>TM</w:t>
      </w:r>
      <w:r w:rsidRPr="001167F4">
        <w:rPr>
          <w:rFonts w:ascii="Arial" w:hAnsi="Arial" w:cs="Arial"/>
          <w:sz w:val="22"/>
          <w:szCs w:val="22"/>
        </w:rPr>
        <w:t xml:space="preserve"> sur toute la série et l’analyse de la méthylation de l’ADN de 21 cas pour lesquels nous avions suffisamment de matériel, nous avons reclassé cette série en 3 groupes diagnostiques distincts : RGNT certaine, RGNT possible, RGNT exclue.</w:t>
      </w:r>
    </w:p>
    <w:p w:rsidR="004F6FF2" w:rsidRPr="001167F4" w:rsidRDefault="004F6FF2" w:rsidP="004F6FF2">
      <w:pPr>
        <w:pStyle w:val="Sansinterligne"/>
        <w:spacing w:line="276" w:lineRule="auto"/>
        <w:jc w:val="both"/>
        <w:rPr>
          <w:rFonts w:ascii="Arial" w:hAnsi="Arial" w:cs="Arial"/>
          <w:sz w:val="22"/>
          <w:szCs w:val="22"/>
        </w:rPr>
      </w:pPr>
    </w:p>
    <w:p w:rsidR="004F6FF2" w:rsidRPr="001167F4" w:rsidRDefault="004F6FF2" w:rsidP="004F6FF2">
      <w:pPr>
        <w:pStyle w:val="Sansinterligne"/>
        <w:spacing w:line="276" w:lineRule="auto"/>
        <w:jc w:val="both"/>
        <w:rPr>
          <w:rFonts w:ascii="Arial" w:hAnsi="Arial" w:cs="Arial"/>
          <w:sz w:val="22"/>
          <w:szCs w:val="22"/>
        </w:rPr>
      </w:pPr>
      <w:r w:rsidRPr="001167F4">
        <w:rPr>
          <w:rFonts w:ascii="Arial" w:hAnsi="Arial" w:cs="Arial"/>
          <w:sz w:val="22"/>
          <w:szCs w:val="22"/>
        </w:rPr>
        <w:t xml:space="preserve">Aussi, nous proposons que lorsque l’analyse de la méthylation de l’ADN de ces tumeurs n’est pas possible, </w:t>
      </w:r>
      <w:r w:rsidRPr="001167F4">
        <w:rPr>
          <w:rFonts w:ascii="Arial" w:hAnsi="Arial" w:cs="Arial"/>
          <w:b/>
          <w:sz w:val="22"/>
          <w:szCs w:val="22"/>
        </w:rPr>
        <w:t xml:space="preserve">le diagnostic de RGNT ne peut être porté de façon certaine qu’en présence des critères </w:t>
      </w:r>
      <w:proofErr w:type="spellStart"/>
      <w:r w:rsidRPr="001167F4">
        <w:rPr>
          <w:rFonts w:ascii="Arial" w:hAnsi="Arial" w:cs="Arial"/>
          <w:b/>
          <w:sz w:val="22"/>
          <w:szCs w:val="22"/>
        </w:rPr>
        <w:t>histopathologiques</w:t>
      </w:r>
      <w:proofErr w:type="spellEnd"/>
      <w:r w:rsidRPr="001167F4">
        <w:rPr>
          <w:rFonts w:ascii="Arial" w:hAnsi="Arial" w:cs="Arial"/>
          <w:b/>
          <w:sz w:val="22"/>
          <w:szCs w:val="22"/>
        </w:rPr>
        <w:t xml:space="preserve"> essentiels du diagnostic selon l’OMS 2021 </w:t>
      </w:r>
      <w:r w:rsidRPr="001167F4">
        <w:rPr>
          <w:rFonts w:ascii="Arial" w:hAnsi="Arial" w:cs="Arial"/>
          <w:b/>
          <w:sz w:val="22"/>
          <w:szCs w:val="22"/>
          <w:u w:val="single"/>
        </w:rPr>
        <w:t>et</w:t>
      </w:r>
      <w:r w:rsidRPr="001167F4">
        <w:rPr>
          <w:rFonts w:ascii="Arial" w:hAnsi="Arial" w:cs="Arial"/>
          <w:b/>
          <w:sz w:val="22"/>
          <w:szCs w:val="22"/>
        </w:rPr>
        <w:t xml:space="preserve"> d’une mutation du gène </w:t>
      </w:r>
      <w:r w:rsidRPr="001167F4">
        <w:rPr>
          <w:rFonts w:ascii="Arial" w:hAnsi="Arial" w:cs="Arial"/>
          <w:b/>
          <w:i/>
          <w:sz w:val="22"/>
          <w:szCs w:val="22"/>
        </w:rPr>
        <w:t>FGFR1</w:t>
      </w:r>
      <w:r w:rsidRPr="001167F4">
        <w:rPr>
          <w:rFonts w:ascii="Arial" w:hAnsi="Arial" w:cs="Arial"/>
          <w:b/>
          <w:sz w:val="22"/>
          <w:szCs w:val="22"/>
        </w:rPr>
        <w:t xml:space="preserve"> associée à une mutation du gène </w:t>
      </w:r>
      <w:r w:rsidRPr="001167F4">
        <w:rPr>
          <w:rFonts w:ascii="Arial" w:hAnsi="Arial" w:cs="Arial"/>
          <w:b/>
          <w:i/>
          <w:sz w:val="22"/>
          <w:szCs w:val="22"/>
        </w:rPr>
        <w:t>PIK3CA</w:t>
      </w:r>
      <w:r w:rsidRPr="001167F4">
        <w:rPr>
          <w:rFonts w:ascii="Arial" w:hAnsi="Arial" w:cs="Arial"/>
          <w:b/>
          <w:sz w:val="22"/>
          <w:szCs w:val="22"/>
        </w:rPr>
        <w:t xml:space="preserve"> ou moins fréquemment </w:t>
      </w:r>
      <w:r w:rsidRPr="001167F4">
        <w:rPr>
          <w:rFonts w:ascii="Arial" w:hAnsi="Arial" w:cs="Arial"/>
          <w:b/>
          <w:i/>
          <w:sz w:val="22"/>
          <w:szCs w:val="22"/>
        </w:rPr>
        <w:t>PIK3R1</w:t>
      </w:r>
      <w:r w:rsidRPr="001167F4">
        <w:rPr>
          <w:rFonts w:ascii="Arial" w:hAnsi="Arial" w:cs="Arial"/>
          <w:sz w:val="22"/>
          <w:szCs w:val="22"/>
        </w:rPr>
        <w:t>.</w:t>
      </w:r>
    </w:p>
    <w:p w:rsidR="00687A0D" w:rsidRPr="004F6FF2" w:rsidRDefault="004F6FF2" w:rsidP="004F6FF2">
      <w:r w:rsidRPr="001167F4">
        <w:rPr>
          <w:rFonts w:ascii="Arial" w:hAnsi="Arial" w:cs="Arial"/>
          <w:sz w:val="22"/>
          <w:szCs w:val="22"/>
        </w:rPr>
        <w:t>Cette approche devrait permettre d’améliorer le diagnostic parfois délicat de ces tumeurs.</w:t>
      </w:r>
      <w:bookmarkStart w:id="0" w:name="_GoBack"/>
      <w:bookmarkEnd w:id="0"/>
    </w:p>
    <w:sectPr w:rsidR="00687A0D" w:rsidRPr="004F6F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FF2"/>
    <w:rsid w:val="004F6FF2"/>
    <w:rsid w:val="00687A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FF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4F6FF2"/>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link w:val="Sansinterligne"/>
    <w:uiPriority w:val="1"/>
    <w:rsid w:val="004F6FF2"/>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FF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4F6FF2"/>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link w:val="Sansinterligne"/>
    <w:uiPriority w:val="1"/>
    <w:rsid w:val="004F6FF2"/>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1520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couesnon</dc:creator>
  <cp:lastModifiedBy>couesnon</cp:lastModifiedBy>
  <cp:revision>1</cp:revision>
  <dcterms:created xsi:type="dcterms:W3CDTF">2022-10-12T15:37:00Z</dcterms:created>
  <dcterms:modified xsi:type="dcterms:W3CDTF">2022-10-12T15:38:00Z</dcterms:modified>
</cp:coreProperties>
</file>