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FA" w:rsidRPr="003D2BB5" w:rsidRDefault="004C04FA" w:rsidP="004C04FA">
      <w:p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Dans cette étude, </w:t>
      </w:r>
      <w:r w:rsidRPr="006D20DE">
        <w:rPr>
          <w:rFonts w:ascii="Arial" w:hAnsi="Arial" w:cs="Arial"/>
          <w:b/>
          <w:bCs/>
          <w:noProof/>
          <w:sz w:val="22"/>
          <w:u w:val="single"/>
        </w:rPr>
        <w:t>notre équipe GlioME</w:t>
      </w:r>
      <w:r>
        <w:rPr>
          <w:rFonts w:ascii="Arial" w:hAnsi="Arial" w:cs="Arial"/>
          <w:noProof/>
          <w:sz w:val="22"/>
        </w:rPr>
        <w:t xml:space="preserve"> a exploité à la fois les résultats de l’étude de Snacel-Fazy </w:t>
      </w:r>
      <w:r w:rsidRPr="006608C6">
        <w:rPr>
          <w:rFonts w:ascii="Arial" w:hAnsi="Arial" w:cs="Arial"/>
          <w:i/>
          <w:iCs/>
          <w:noProof/>
          <w:sz w:val="22"/>
        </w:rPr>
        <w:t>et al.</w:t>
      </w:r>
      <w:r>
        <w:rPr>
          <w:rFonts w:ascii="Arial" w:hAnsi="Arial" w:cs="Arial"/>
          <w:noProof/>
          <w:sz w:val="22"/>
        </w:rPr>
        <w:t xml:space="preserve"> 2024, </w:t>
      </w:r>
      <w:r w:rsidRPr="006D20DE">
        <w:rPr>
          <w:rFonts w:ascii="Arial" w:hAnsi="Arial" w:cs="Arial"/>
          <w:i/>
          <w:iCs/>
          <w:noProof/>
          <w:sz w:val="22"/>
        </w:rPr>
        <w:t>Cell Death &amp; Diseas</w:t>
      </w:r>
      <w:r>
        <w:rPr>
          <w:rFonts w:ascii="Arial" w:hAnsi="Arial" w:cs="Arial"/>
          <w:i/>
          <w:iCs/>
          <w:noProof/>
          <w:sz w:val="22"/>
        </w:rPr>
        <w:t>e</w:t>
      </w:r>
      <w:r>
        <w:rPr>
          <w:rFonts w:ascii="Arial" w:hAnsi="Arial" w:cs="Arial"/>
          <w:noProof/>
          <w:sz w:val="22"/>
        </w:rPr>
        <w:t xml:space="preserve">, et ceux de Wang </w:t>
      </w:r>
      <w:r w:rsidRPr="006608C6">
        <w:rPr>
          <w:rFonts w:ascii="Arial" w:hAnsi="Arial" w:cs="Arial"/>
          <w:i/>
          <w:iCs/>
          <w:noProof/>
          <w:sz w:val="22"/>
        </w:rPr>
        <w:t>et al.,</w:t>
      </w:r>
      <w:r>
        <w:rPr>
          <w:rFonts w:ascii="Arial" w:hAnsi="Arial" w:cs="Arial"/>
          <w:noProof/>
          <w:sz w:val="22"/>
        </w:rPr>
        <w:t xml:space="preserve"> 2024 </w:t>
      </w:r>
      <w:r w:rsidRPr="006D20DE">
        <w:rPr>
          <w:rFonts w:ascii="Arial" w:hAnsi="Arial" w:cs="Arial"/>
          <w:i/>
          <w:iCs/>
          <w:noProof/>
          <w:sz w:val="22"/>
        </w:rPr>
        <w:t>Drug Delivery &amp; Translational Research</w:t>
      </w:r>
      <w:r>
        <w:rPr>
          <w:rFonts w:ascii="Arial" w:hAnsi="Arial" w:cs="Arial"/>
          <w:noProof/>
          <w:sz w:val="22"/>
        </w:rPr>
        <w:t xml:space="preserve"> pour répondre à une problématique qui se pose après l’exérère chirurgicale d’un glioblastome. En effet, </w:t>
      </w:r>
      <w:r w:rsidRPr="003D2BB5">
        <w:rPr>
          <w:rFonts w:ascii="Arial" w:hAnsi="Arial" w:cs="Arial"/>
          <w:noProof/>
          <w:sz w:val="22"/>
        </w:rPr>
        <w:t xml:space="preserve">l’ablation de la tumeur provoque des réactions </w:t>
      </w:r>
      <w:r>
        <w:rPr>
          <w:rFonts w:ascii="Arial" w:hAnsi="Arial" w:cs="Arial"/>
          <w:noProof/>
          <w:sz w:val="22"/>
        </w:rPr>
        <w:t>inflammatoires</w:t>
      </w:r>
      <w:r w:rsidRPr="003D2BB5">
        <w:rPr>
          <w:rFonts w:ascii="Arial" w:hAnsi="Arial" w:cs="Arial"/>
          <w:noProof/>
          <w:sz w:val="22"/>
        </w:rPr>
        <w:t xml:space="preserve"> dans le cerveau</w:t>
      </w:r>
      <w:r>
        <w:rPr>
          <w:rFonts w:ascii="Arial" w:hAnsi="Arial" w:cs="Arial"/>
          <w:noProof/>
          <w:sz w:val="22"/>
        </w:rPr>
        <w:t xml:space="preserve"> et il semblerait nécessaire de diminuer au maximum ces réactions qui deviennent chroniques et délétéres afin d’améliorer l’efficacité du traitement post-chirurgical administré. </w:t>
      </w:r>
    </w:p>
    <w:p w:rsidR="004C04FA" w:rsidRPr="003D2BB5" w:rsidRDefault="004C04FA" w:rsidP="004C04FA">
      <w:p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Pour ce faire, dans cette étude nous avons caractérisé précisement</w:t>
      </w:r>
      <w:r w:rsidRPr="003D2BB5">
        <w:rPr>
          <w:rFonts w:ascii="Arial" w:hAnsi="Arial" w:cs="Arial"/>
          <w:noProof/>
          <w:sz w:val="22"/>
        </w:rPr>
        <w:t xml:space="preserve"> les réactions </w:t>
      </w:r>
      <w:r>
        <w:rPr>
          <w:rFonts w:ascii="Arial" w:hAnsi="Arial" w:cs="Arial"/>
          <w:noProof/>
          <w:sz w:val="22"/>
        </w:rPr>
        <w:t>inflammatoires</w:t>
      </w:r>
      <w:r w:rsidRPr="003D2BB5">
        <w:rPr>
          <w:rFonts w:ascii="Arial" w:hAnsi="Arial" w:cs="Arial"/>
          <w:noProof/>
          <w:sz w:val="22"/>
        </w:rPr>
        <w:t xml:space="preserve"> qui se produisent dans le cerveau après la chirurgie </w:t>
      </w:r>
      <w:r>
        <w:rPr>
          <w:rFonts w:ascii="Arial" w:hAnsi="Arial" w:cs="Arial"/>
          <w:noProof/>
          <w:sz w:val="22"/>
        </w:rPr>
        <w:t xml:space="preserve">et nous avons </w:t>
      </w:r>
      <w:r w:rsidRPr="003D2BB5">
        <w:rPr>
          <w:rFonts w:ascii="Arial" w:hAnsi="Arial" w:cs="Arial"/>
          <w:noProof/>
          <w:sz w:val="22"/>
        </w:rPr>
        <w:t>combin</w:t>
      </w:r>
      <w:r>
        <w:rPr>
          <w:rFonts w:ascii="Arial" w:hAnsi="Arial" w:cs="Arial"/>
          <w:noProof/>
          <w:sz w:val="22"/>
        </w:rPr>
        <w:t>é</w:t>
      </w:r>
      <w:r w:rsidRPr="003D2BB5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 xml:space="preserve">un </w:t>
      </w:r>
      <w:r w:rsidRPr="003D2BB5">
        <w:rPr>
          <w:rFonts w:ascii="Arial" w:hAnsi="Arial" w:cs="Arial"/>
          <w:noProof/>
          <w:sz w:val="22"/>
        </w:rPr>
        <w:t>hydrogel</w:t>
      </w:r>
      <w:r>
        <w:rPr>
          <w:rFonts w:ascii="Arial" w:hAnsi="Arial" w:cs="Arial"/>
          <w:noProof/>
          <w:sz w:val="22"/>
        </w:rPr>
        <w:t xml:space="preserve"> (similaire à celui développé par Wang </w:t>
      </w:r>
      <w:r w:rsidRPr="006608C6">
        <w:rPr>
          <w:rFonts w:ascii="Arial" w:hAnsi="Arial" w:cs="Arial"/>
          <w:i/>
          <w:iCs/>
          <w:noProof/>
          <w:sz w:val="22"/>
        </w:rPr>
        <w:t>et al.,</w:t>
      </w:r>
      <w:r>
        <w:rPr>
          <w:rFonts w:ascii="Arial" w:hAnsi="Arial" w:cs="Arial"/>
          <w:noProof/>
          <w:sz w:val="22"/>
        </w:rPr>
        <w:t xml:space="preserve"> 2024) au GDC-0152</w:t>
      </w:r>
      <w:r w:rsidRPr="003D2BB5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 xml:space="preserve">(Snacel-Fazy </w:t>
      </w:r>
      <w:r w:rsidRPr="006608C6">
        <w:rPr>
          <w:rFonts w:ascii="Arial" w:hAnsi="Arial" w:cs="Arial"/>
          <w:i/>
          <w:iCs/>
          <w:noProof/>
          <w:sz w:val="22"/>
        </w:rPr>
        <w:t>et al.</w:t>
      </w:r>
      <w:r>
        <w:rPr>
          <w:rFonts w:ascii="Arial" w:hAnsi="Arial" w:cs="Arial"/>
          <w:i/>
          <w:iCs/>
          <w:noProof/>
          <w:sz w:val="22"/>
        </w:rPr>
        <w:t>,</w:t>
      </w:r>
      <w:r>
        <w:rPr>
          <w:rFonts w:ascii="Arial" w:hAnsi="Arial" w:cs="Arial"/>
          <w:noProof/>
          <w:sz w:val="22"/>
        </w:rPr>
        <w:t xml:space="preserve"> 2024) pour transformer</w:t>
      </w:r>
      <w:r w:rsidRPr="003D2BB5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 xml:space="preserve">localement </w:t>
      </w:r>
      <w:r w:rsidRPr="00895DE3">
        <w:rPr>
          <w:rFonts w:ascii="Arial" w:hAnsi="Arial" w:cs="Arial"/>
          <w:noProof/>
          <w:sz w:val="22"/>
          <w:szCs w:val="22"/>
        </w:rPr>
        <w:t xml:space="preserve">les cellules </w:t>
      </w:r>
      <w:r>
        <w:rPr>
          <w:rFonts w:ascii="Arial" w:hAnsi="Arial" w:cs="Arial"/>
          <w:noProof/>
          <w:sz w:val="22"/>
          <w:szCs w:val="22"/>
        </w:rPr>
        <w:t xml:space="preserve">inflammatoires afin de les rendre </w:t>
      </w:r>
      <w:r w:rsidRPr="00895DE3">
        <w:rPr>
          <w:rFonts w:ascii="Arial" w:hAnsi="Arial" w:cs="Arial"/>
          <w:noProof/>
          <w:sz w:val="22"/>
          <w:szCs w:val="22"/>
        </w:rPr>
        <w:t xml:space="preserve">plus actives </w:t>
      </w:r>
      <w:r>
        <w:rPr>
          <w:rFonts w:ascii="Arial" w:hAnsi="Arial" w:cs="Arial"/>
          <w:noProof/>
          <w:sz w:val="22"/>
          <w:szCs w:val="22"/>
        </w:rPr>
        <w:t>pour attaquer</w:t>
      </w:r>
      <w:r w:rsidRPr="00895DE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les cellules tumorales résiduelles</w:t>
      </w:r>
      <w:r w:rsidRPr="003D2BB5">
        <w:rPr>
          <w:rFonts w:ascii="Arial" w:hAnsi="Arial" w:cs="Arial"/>
          <w:noProof/>
          <w:sz w:val="22"/>
        </w:rPr>
        <w:t>.</w:t>
      </w:r>
      <w:r w:rsidRPr="00AE614D">
        <w:rPr>
          <w:rFonts w:ascii="Arial" w:hAnsi="Arial" w:cs="Arial"/>
          <w:noProof/>
          <w:sz w:val="22"/>
          <w:szCs w:val="22"/>
        </w:rPr>
        <w:t xml:space="preserve"> </w:t>
      </w:r>
    </w:p>
    <w:p w:rsidR="004C04FA" w:rsidRDefault="004C04FA" w:rsidP="004C04FA">
      <w:pPr>
        <w:jc w:val="both"/>
        <w:rPr>
          <w:rFonts w:ascii="Arial" w:hAnsi="Arial" w:cs="Arial"/>
          <w:noProof/>
          <w:sz w:val="22"/>
        </w:rPr>
      </w:pPr>
      <w:r w:rsidRPr="003D2BB5">
        <w:rPr>
          <w:rFonts w:ascii="Arial" w:hAnsi="Arial" w:cs="Arial"/>
          <w:noProof/>
          <w:sz w:val="22"/>
        </w:rPr>
        <w:t xml:space="preserve">Ce traitement combiné a montré son efficacité sur </w:t>
      </w:r>
      <w:r>
        <w:rPr>
          <w:rFonts w:ascii="Arial" w:hAnsi="Arial" w:cs="Arial"/>
          <w:noProof/>
          <w:sz w:val="22"/>
        </w:rPr>
        <w:t>les modèles de</w:t>
      </w:r>
      <w:r w:rsidRPr="003D2BB5">
        <w:rPr>
          <w:rFonts w:ascii="Arial" w:hAnsi="Arial" w:cs="Arial"/>
          <w:noProof/>
          <w:sz w:val="22"/>
        </w:rPr>
        <w:t xml:space="preserve"> </w:t>
      </w:r>
      <w:r w:rsidRPr="00051A4A">
        <w:rPr>
          <w:rFonts w:ascii="Arial" w:hAnsi="Arial" w:cs="Arial"/>
          <w:noProof/>
          <w:sz w:val="22"/>
        </w:rPr>
        <w:t>tumoroïdes</w:t>
      </w:r>
      <w:r w:rsidRPr="003D2BB5">
        <w:rPr>
          <w:rFonts w:ascii="Arial" w:hAnsi="Arial" w:cs="Arial"/>
          <w:noProof/>
          <w:sz w:val="22"/>
        </w:rPr>
        <w:t xml:space="preserve"> dérivés de patients (</w:t>
      </w:r>
      <w:r>
        <w:rPr>
          <w:rFonts w:ascii="Arial" w:hAnsi="Arial" w:cs="Arial"/>
          <w:noProof/>
          <w:sz w:val="22"/>
        </w:rPr>
        <w:t xml:space="preserve">Soubéran </w:t>
      </w:r>
      <w:r w:rsidRPr="006608C6">
        <w:rPr>
          <w:rFonts w:ascii="Arial" w:hAnsi="Arial" w:cs="Arial"/>
          <w:i/>
          <w:iCs/>
          <w:noProof/>
          <w:sz w:val="22"/>
        </w:rPr>
        <w:t>et al.,</w:t>
      </w:r>
      <w:r>
        <w:rPr>
          <w:rFonts w:ascii="Arial" w:hAnsi="Arial" w:cs="Arial"/>
          <w:noProof/>
          <w:sz w:val="22"/>
        </w:rPr>
        <w:t xml:space="preserve"> 2024</w:t>
      </w:r>
      <w:r w:rsidRPr="003D2BB5">
        <w:rPr>
          <w:rFonts w:ascii="Arial" w:hAnsi="Arial" w:cs="Arial"/>
          <w:noProof/>
          <w:sz w:val="22"/>
        </w:rPr>
        <w:t>)</w:t>
      </w:r>
      <w:r>
        <w:rPr>
          <w:rFonts w:ascii="Arial" w:hAnsi="Arial" w:cs="Arial"/>
          <w:noProof/>
          <w:sz w:val="22"/>
        </w:rPr>
        <w:t xml:space="preserve"> et sur des modèles animaux de chirurgie du glioblastome proposés sur la plateforme PETRA"TECH".</w:t>
      </w:r>
    </w:p>
    <w:p w:rsidR="004C04FA" w:rsidRPr="003D2BB5" w:rsidRDefault="004C04FA" w:rsidP="004C04FA">
      <w:pPr>
        <w:jc w:val="both"/>
        <w:rPr>
          <w:rFonts w:ascii="Arial" w:hAnsi="Arial" w:cs="Arial"/>
          <w:noProof/>
          <w:sz w:val="22"/>
        </w:rPr>
      </w:pPr>
      <w:r w:rsidRPr="008E50E9">
        <w:rPr>
          <w:rFonts w:ascii="Arial" w:hAnsi="Arial" w:cs="Arial"/>
          <w:b/>
          <w:bCs/>
          <w:noProof/>
          <w:sz w:val="22"/>
        </w:rPr>
        <w:t xml:space="preserve">Cette étude a permis d’identifier des périodes </w:t>
      </w:r>
      <w:r>
        <w:rPr>
          <w:rFonts w:ascii="Arial" w:hAnsi="Arial" w:cs="Arial"/>
          <w:b/>
          <w:bCs/>
          <w:noProof/>
          <w:sz w:val="22"/>
        </w:rPr>
        <w:t>précises</w:t>
      </w:r>
      <w:r w:rsidRPr="008E50E9">
        <w:rPr>
          <w:rFonts w:ascii="Arial" w:hAnsi="Arial" w:cs="Arial"/>
          <w:b/>
          <w:bCs/>
          <w:noProof/>
          <w:sz w:val="22"/>
        </w:rPr>
        <w:t xml:space="preserve"> après la chirurgie, où une intervention ciblée </w:t>
      </w:r>
      <w:r>
        <w:rPr>
          <w:rFonts w:ascii="Arial" w:hAnsi="Arial" w:cs="Arial"/>
          <w:b/>
          <w:bCs/>
          <w:noProof/>
          <w:sz w:val="22"/>
        </w:rPr>
        <w:t xml:space="preserve">contre </w:t>
      </w:r>
      <w:r w:rsidRPr="008E50E9">
        <w:rPr>
          <w:rFonts w:ascii="Arial" w:hAnsi="Arial" w:cs="Arial"/>
          <w:b/>
          <w:bCs/>
          <w:noProof/>
          <w:sz w:val="22"/>
        </w:rPr>
        <w:t xml:space="preserve">le système immunitaire pourrait être particulièrement efficace. La combinaison de l’hydrogel et du GDC-0152 constitue une stratégie prometteuse pour </w:t>
      </w:r>
      <w:r>
        <w:rPr>
          <w:rFonts w:ascii="Arial" w:hAnsi="Arial" w:cs="Arial"/>
          <w:b/>
          <w:bCs/>
          <w:noProof/>
          <w:sz w:val="22"/>
        </w:rPr>
        <w:t>diminuer le risque de</w:t>
      </w:r>
      <w:r w:rsidRPr="008E50E9">
        <w:rPr>
          <w:rFonts w:ascii="Arial" w:hAnsi="Arial" w:cs="Arial"/>
          <w:b/>
          <w:bCs/>
          <w:noProof/>
          <w:sz w:val="22"/>
        </w:rPr>
        <w:t xml:space="preserve"> récidive</w:t>
      </w:r>
      <w:r w:rsidRPr="003D2BB5">
        <w:rPr>
          <w:rFonts w:ascii="Arial" w:hAnsi="Arial" w:cs="Arial"/>
          <w:noProof/>
          <w:sz w:val="22"/>
        </w:rPr>
        <w:t>. Ces résultats ouvrent la voie à des essais cliniques pour adapter cette approche aux patients.</w:t>
      </w:r>
    </w:p>
    <w:p w:rsidR="004C04FA" w:rsidRPr="004F3E0C" w:rsidRDefault="004C04FA" w:rsidP="004C04FA">
      <w:pPr>
        <w:jc w:val="both"/>
        <w:rPr>
          <w:rFonts w:ascii="Arial" w:hAnsi="Arial" w:cs="Arial"/>
          <w:noProof/>
          <w:sz w:val="22"/>
        </w:rPr>
      </w:pP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FA"/>
    <w:rsid w:val="004C04FA"/>
    <w:rsid w:val="006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2025-01-17T11:03:00Z</dcterms:created>
  <dcterms:modified xsi:type="dcterms:W3CDTF">2025-01-17T11:04:00Z</dcterms:modified>
</cp:coreProperties>
</file>